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3D101" w14:textId="4B6B130A" w:rsidR="00F363C0" w:rsidRPr="00A02439" w:rsidRDefault="002B4EA1" w:rsidP="00F363C0">
      <w:pPr>
        <w:pStyle w:val="Ttulo1"/>
        <w:keepLines w:val="0"/>
        <w:spacing w:before="400" w:after="200"/>
        <w:ind w:left="510" w:hanging="510"/>
        <w:rPr>
          <w:rFonts w:eastAsia="Times New Roman" w:cs="Arial"/>
          <w:kern w:val="32"/>
          <w:sz w:val="26"/>
          <w:szCs w:val="32"/>
        </w:rPr>
      </w:pPr>
      <w:bookmarkStart w:id="0" w:name="_Hlk194223509"/>
      <w:bookmarkEnd w:id="0"/>
      <w:r w:rsidRPr="000639FB">
        <w:rPr>
          <w:rFonts w:eastAsia="Times New Roman" w:cs="Arial"/>
          <w:kern w:val="32"/>
          <w:sz w:val="26"/>
          <w:szCs w:val="32"/>
        </w:rPr>
        <w:t>Objetivo</w:t>
      </w:r>
    </w:p>
    <w:p w14:paraId="01CF0603" w14:textId="4D6CDE33" w:rsidR="009812AC" w:rsidRPr="00780512" w:rsidRDefault="00780512" w:rsidP="004A3176">
      <w:pPr>
        <w:spacing w:before="120" w:line="360" w:lineRule="auto"/>
        <w:ind w:left="284" w:firstLine="226"/>
        <w:jc w:val="both"/>
        <w:rPr>
          <w:rFonts w:ascii="Tahoma" w:eastAsia="Calibri" w:hAnsi="Tahoma" w:cs="Tahoma"/>
          <w:sz w:val="22"/>
          <w:szCs w:val="22"/>
        </w:rPr>
      </w:pPr>
      <w:r w:rsidRPr="6435AFD3">
        <w:rPr>
          <w:rFonts w:ascii="Tahoma" w:eastAsia="Calibri" w:hAnsi="Tahoma" w:cs="Tahoma"/>
          <w:sz w:val="22"/>
          <w:szCs w:val="22"/>
        </w:rPr>
        <w:t>Esta Nota de Esclarecimento busca apresentar</w:t>
      </w:r>
      <w:r w:rsidR="55DDF37C" w:rsidRPr="6435AFD3">
        <w:rPr>
          <w:rFonts w:ascii="Tahoma" w:eastAsia="Calibri" w:hAnsi="Tahoma" w:cs="Tahoma"/>
          <w:sz w:val="22"/>
          <w:szCs w:val="22"/>
        </w:rPr>
        <w:t xml:space="preserve"> </w:t>
      </w:r>
      <w:r w:rsidRPr="6435AFD3">
        <w:rPr>
          <w:rFonts w:ascii="Tahoma" w:eastAsia="Calibri" w:hAnsi="Tahoma" w:cs="Tahoma"/>
          <w:sz w:val="22"/>
          <w:szCs w:val="22"/>
        </w:rPr>
        <w:t xml:space="preserve">o </w:t>
      </w:r>
      <w:r w:rsidRPr="6435AFD3">
        <w:rPr>
          <w:rFonts w:ascii="Tahoma" w:eastAsia="Calibri" w:hAnsi="Tahoma" w:cs="Tahoma"/>
          <w:b/>
          <w:bCs/>
          <w:sz w:val="22"/>
          <w:szCs w:val="22"/>
        </w:rPr>
        <w:t>Programa Nacional de Produção e Uso do Biodiesel (PNPB)</w:t>
      </w:r>
      <w:r w:rsidRPr="6435AFD3">
        <w:rPr>
          <w:rFonts w:ascii="Tahoma" w:eastAsia="Calibri" w:hAnsi="Tahoma" w:cs="Tahoma"/>
          <w:sz w:val="22"/>
          <w:szCs w:val="22"/>
        </w:rPr>
        <w:t xml:space="preserve">, seu histórico de marcos legais </w:t>
      </w:r>
      <w:r w:rsidR="00822699" w:rsidRPr="6435AFD3">
        <w:rPr>
          <w:rFonts w:ascii="Tahoma" w:eastAsia="Calibri" w:hAnsi="Tahoma" w:cs="Tahoma"/>
          <w:sz w:val="22"/>
          <w:szCs w:val="22"/>
        </w:rPr>
        <w:t xml:space="preserve">e as contribuições da EPE – Empresa de Pesquisa Energética no acompanhamento, análise e disseminação de informações da produção e consumo de biodiesel no Brasil. </w:t>
      </w:r>
    </w:p>
    <w:p w14:paraId="6D5099AF" w14:textId="1BA838DE" w:rsidR="00C1257D" w:rsidRPr="002A1E2F" w:rsidRDefault="00780512" w:rsidP="000869C4">
      <w:pPr>
        <w:pStyle w:val="Ttulo1"/>
        <w:keepLines w:val="0"/>
        <w:spacing w:before="400" w:after="200"/>
        <w:ind w:left="510" w:hanging="510"/>
        <w:rPr>
          <w:rFonts w:eastAsia="Times New Roman" w:cs="Arial"/>
          <w:kern w:val="32"/>
          <w:sz w:val="26"/>
          <w:szCs w:val="32"/>
        </w:rPr>
      </w:pPr>
      <w:r>
        <w:rPr>
          <w:rFonts w:eastAsia="Times New Roman" w:cs="Arial"/>
          <w:kern w:val="32"/>
          <w:sz w:val="26"/>
          <w:szCs w:val="32"/>
        </w:rPr>
        <w:t>Programa</w:t>
      </w:r>
      <w:r w:rsidR="001E70C2">
        <w:rPr>
          <w:rFonts w:eastAsia="Times New Roman" w:cs="Arial"/>
          <w:kern w:val="32"/>
          <w:sz w:val="26"/>
          <w:szCs w:val="32"/>
        </w:rPr>
        <w:t xml:space="preserve"> Nacional de Produção e Uso de</w:t>
      </w:r>
      <w:r w:rsidR="00B67D87">
        <w:rPr>
          <w:rFonts w:eastAsia="Times New Roman" w:cs="Arial"/>
          <w:kern w:val="32"/>
          <w:sz w:val="26"/>
          <w:szCs w:val="32"/>
        </w:rPr>
        <w:t xml:space="preserve"> Biodiesel</w:t>
      </w:r>
      <w:r w:rsidR="001E70C2">
        <w:rPr>
          <w:rFonts w:eastAsia="Times New Roman" w:cs="Arial"/>
          <w:kern w:val="32"/>
          <w:sz w:val="26"/>
          <w:szCs w:val="32"/>
        </w:rPr>
        <w:t xml:space="preserve"> </w:t>
      </w:r>
    </w:p>
    <w:p w14:paraId="50D76ACD" w14:textId="0FD18DC4" w:rsidR="00780512" w:rsidRPr="00780512" w:rsidRDefault="00780512" w:rsidP="005C71C6">
      <w:pPr>
        <w:pStyle w:val="PargrafodaLista"/>
        <w:spacing w:before="240" w:after="240" w:line="360" w:lineRule="auto"/>
        <w:ind w:left="284" w:firstLine="227"/>
        <w:jc w:val="both"/>
        <w:rPr>
          <w:rFonts w:ascii="Tahoma" w:hAnsi="Tahoma" w:cs="Tahoma"/>
        </w:rPr>
      </w:pPr>
      <w:r w:rsidRPr="00780512">
        <w:rPr>
          <w:rFonts w:ascii="Tahoma" w:hAnsi="Tahoma" w:cs="Tahoma"/>
        </w:rPr>
        <w:t>O Programa Nacional de Produção e Uso do Biodiesel é o conjunto de políticas e atos administrativos que compõem o projeto de incentivo ao desenvolvimento da indústria, produção e consumo do biodiesel no Brasil.</w:t>
      </w:r>
    </w:p>
    <w:p w14:paraId="3C170822" w14:textId="32A3347C" w:rsidR="00D365BF" w:rsidRPr="00D365BF" w:rsidRDefault="00780512" w:rsidP="005C71C6">
      <w:pPr>
        <w:pStyle w:val="PargrafodaLista"/>
        <w:spacing w:before="240" w:after="240" w:line="360" w:lineRule="auto"/>
        <w:ind w:left="284" w:firstLine="227"/>
        <w:jc w:val="both"/>
        <w:rPr>
          <w:rFonts w:ascii="Tahoma" w:hAnsi="Tahoma" w:cs="Tahoma"/>
        </w:rPr>
      </w:pPr>
      <w:r w:rsidRPr="00780512">
        <w:rPr>
          <w:rFonts w:ascii="Tahoma" w:hAnsi="Tahoma" w:cs="Tahoma"/>
        </w:rPr>
        <w:t xml:space="preserve">O PNPB é fruto do decreto presidencial de 2 de julho de 2003 que criou o Grupo de Trabalho (GT) Interministerial do Biodiesel. </w:t>
      </w:r>
      <w:r w:rsidRPr="00D365BF">
        <w:rPr>
          <w:rFonts w:ascii="Tahoma" w:hAnsi="Tahoma" w:cs="Tahoma"/>
        </w:rPr>
        <w:t>Formado pela Comissão Executiva Interministerial (CEIB)</w:t>
      </w:r>
      <w:r w:rsidR="00D365BF" w:rsidRPr="00D365BF">
        <w:rPr>
          <w:rFonts w:ascii="Tahoma" w:hAnsi="Tahoma" w:cs="Tahoma"/>
        </w:rPr>
        <w:t xml:space="preserve">, </w:t>
      </w:r>
      <w:r w:rsidRPr="00D365BF">
        <w:rPr>
          <w:rFonts w:ascii="Tahoma" w:hAnsi="Tahoma" w:cs="Tahoma"/>
        </w:rPr>
        <w:t>e pelo Grupo Gestor</w:t>
      </w:r>
      <w:r w:rsidR="00D365BF">
        <w:rPr>
          <w:rFonts w:ascii="Tahoma" w:hAnsi="Tahoma" w:cs="Tahoma"/>
        </w:rPr>
        <w:t>.</w:t>
      </w:r>
      <w:r w:rsidR="00D365BF" w:rsidRPr="00D365BF">
        <w:rPr>
          <w:rFonts w:ascii="Times New Roman" w:eastAsia="Times New Roman" w:hAnsi="Times New Roman"/>
          <w:sz w:val="24"/>
          <w:szCs w:val="24"/>
        </w:rPr>
        <w:t xml:space="preserve"> </w:t>
      </w:r>
      <w:r w:rsidR="00D365BF">
        <w:rPr>
          <w:rFonts w:ascii="Tahoma" w:hAnsi="Tahoma" w:cs="Tahoma"/>
        </w:rPr>
        <w:t>O</w:t>
      </w:r>
      <w:r w:rsidR="00D365BF" w:rsidRPr="00D365BF">
        <w:rPr>
          <w:rFonts w:ascii="Tahoma" w:hAnsi="Tahoma" w:cs="Tahoma"/>
        </w:rPr>
        <w:t xml:space="preserve"> GT encarregou-se de propor atos normativos necessários a</w:t>
      </w:r>
      <w:r w:rsidR="005E1D9E">
        <w:rPr>
          <w:rFonts w:ascii="Tahoma" w:hAnsi="Tahoma" w:cs="Tahoma"/>
        </w:rPr>
        <w:t xml:space="preserve"> sua</w:t>
      </w:r>
      <w:r w:rsidR="00D365BF" w:rsidRPr="00D365BF">
        <w:rPr>
          <w:rFonts w:ascii="Tahoma" w:hAnsi="Tahoma" w:cs="Tahoma"/>
        </w:rPr>
        <w:t xml:space="preserve"> implantação do programa.</w:t>
      </w:r>
    </w:p>
    <w:p w14:paraId="4FB9C8B5" w14:textId="649515FA" w:rsidR="009B5616" w:rsidRDefault="00D365BF" w:rsidP="005C71C6">
      <w:pPr>
        <w:pStyle w:val="PargrafodaLista"/>
        <w:spacing w:before="240" w:after="240" w:line="360" w:lineRule="auto"/>
        <w:ind w:left="284" w:firstLine="226"/>
        <w:jc w:val="both"/>
        <w:rPr>
          <w:rFonts w:ascii="Tahoma" w:hAnsi="Tahoma" w:cs="Tahoma"/>
        </w:rPr>
      </w:pPr>
      <w:r>
        <w:rPr>
          <w:rFonts w:ascii="Tahoma" w:hAnsi="Tahoma" w:cs="Tahoma"/>
        </w:rPr>
        <w:t>A CEIB possuía a responsabilidade de elaboração, implementação e monitoramento do programa integrado, propondo atos normativos, analisando, avaliando e propondo ações</w:t>
      </w:r>
      <w:r w:rsidR="009B5616">
        <w:rPr>
          <w:rFonts w:ascii="Tahoma" w:hAnsi="Tahoma" w:cs="Tahoma"/>
        </w:rPr>
        <w:t xml:space="preserve"> </w:t>
      </w:r>
      <w:r>
        <w:rPr>
          <w:rFonts w:ascii="Tahoma" w:hAnsi="Tahoma" w:cs="Tahoma"/>
        </w:rPr>
        <w:t xml:space="preserve">diretrizes e políticas públicas. A comissão subordinava-se à Casa Civil da Presidência da República </w:t>
      </w:r>
      <w:r w:rsidR="00E45358">
        <w:rPr>
          <w:rFonts w:ascii="Tahoma" w:hAnsi="Tahoma" w:cs="Tahoma"/>
        </w:rPr>
        <w:t>que coorden</w:t>
      </w:r>
      <w:r w:rsidR="007654EE">
        <w:rPr>
          <w:rFonts w:ascii="Tahoma" w:hAnsi="Tahoma" w:cs="Tahoma"/>
        </w:rPr>
        <w:t>a</w:t>
      </w:r>
      <w:r w:rsidR="00E45358">
        <w:rPr>
          <w:rFonts w:ascii="Tahoma" w:hAnsi="Tahoma" w:cs="Tahoma"/>
        </w:rPr>
        <w:t>v</w:t>
      </w:r>
      <w:r w:rsidR="007654EE">
        <w:rPr>
          <w:rFonts w:ascii="Tahoma" w:hAnsi="Tahoma" w:cs="Tahoma"/>
        </w:rPr>
        <w:t>a o trabalho dos 1</w:t>
      </w:r>
      <w:r w:rsidR="00FC71CB">
        <w:rPr>
          <w:rFonts w:ascii="Tahoma" w:hAnsi="Tahoma" w:cs="Tahoma"/>
        </w:rPr>
        <w:t xml:space="preserve">4 </w:t>
      </w:r>
      <w:r w:rsidR="00DF107F">
        <w:rPr>
          <w:rFonts w:ascii="Tahoma" w:hAnsi="Tahoma" w:cs="Tahoma"/>
        </w:rPr>
        <w:t>ó</w:t>
      </w:r>
      <w:r w:rsidR="00FC71CB">
        <w:rPr>
          <w:rFonts w:ascii="Tahoma" w:hAnsi="Tahoma" w:cs="Tahoma"/>
        </w:rPr>
        <w:t>rgãos participantes:</w:t>
      </w:r>
    </w:p>
    <w:p w14:paraId="05556821" w14:textId="5E753CE9" w:rsidR="00E45358" w:rsidRDefault="00FC71CB" w:rsidP="005C71C6">
      <w:pPr>
        <w:pStyle w:val="PargrafodaLista"/>
        <w:numPr>
          <w:ilvl w:val="0"/>
          <w:numId w:val="18"/>
        </w:numPr>
        <w:spacing w:line="360" w:lineRule="auto"/>
        <w:jc w:val="both"/>
        <w:rPr>
          <w:rFonts w:ascii="Tahoma" w:hAnsi="Tahoma" w:cs="Tahoma"/>
        </w:rPr>
      </w:pPr>
      <w:r>
        <w:rPr>
          <w:rFonts w:ascii="Tahoma" w:hAnsi="Tahoma" w:cs="Tahoma"/>
        </w:rPr>
        <w:t>Secretaria de Comunicação de Governo e Gestão Estratégica da Presidência da República</w:t>
      </w:r>
    </w:p>
    <w:p w14:paraId="1108D2C5" w14:textId="7076B9C5" w:rsidR="00FC71CB" w:rsidRDefault="00FC71CB" w:rsidP="005C71C6">
      <w:pPr>
        <w:pStyle w:val="PargrafodaLista"/>
        <w:numPr>
          <w:ilvl w:val="0"/>
          <w:numId w:val="18"/>
        </w:numPr>
        <w:spacing w:line="360" w:lineRule="auto"/>
        <w:jc w:val="both"/>
        <w:rPr>
          <w:rFonts w:ascii="Tahoma" w:hAnsi="Tahoma" w:cs="Tahoma"/>
        </w:rPr>
      </w:pPr>
      <w:r>
        <w:rPr>
          <w:rFonts w:ascii="Tahoma" w:hAnsi="Tahoma" w:cs="Tahoma"/>
        </w:rPr>
        <w:t>Ministério da Fazenda</w:t>
      </w:r>
    </w:p>
    <w:p w14:paraId="40D40F98" w14:textId="4F274FFB" w:rsidR="00FC71CB" w:rsidRDefault="00FC71CB" w:rsidP="005C71C6">
      <w:pPr>
        <w:pStyle w:val="PargrafodaLista"/>
        <w:numPr>
          <w:ilvl w:val="0"/>
          <w:numId w:val="18"/>
        </w:numPr>
        <w:spacing w:line="360" w:lineRule="auto"/>
        <w:jc w:val="both"/>
        <w:rPr>
          <w:rFonts w:ascii="Tahoma" w:hAnsi="Tahoma" w:cs="Tahoma"/>
        </w:rPr>
      </w:pPr>
      <w:r>
        <w:rPr>
          <w:rFonts w:ascii="Tahoma" w:hAnsi="Tahoma" w:cs="Tahoma"/>
        </w:rPr>
        <w:t>Ministério dos Transportes</w:t>
      </w:r>
    </w:p>
    <w:p w14:paraId="18875F79" w14:textId="688EF51F" w:rsidR="00FC71CB" w:rsidRDefault="00FC71CB" w:rsidP="005C71C6">
      <w:pPr>
        <w:pStyle w:val="PargrafodaLista"/>
        <w:numPr>
          <w:ilvl w:val="0"/>
          <w:numId w:val="18"/>
        </w:numPr>
        <w:spacing w:line="360" w:lineRule="auto"/>
        <w:jc w:val="both"/>
        <w:rPr>
          <w:rFonts w:ascii="Tahoma" w:hAnsi="Tahoma" w:cs="Tahoma"/>
        </w:rPr>
      </w:pPr>
      <w:r>
        <w:rPr>
          <w:rFonts w:ascii="Tahoma" w:hAnsi="Tahoma" w:cs="Tahoma"/>
        </w:rPr>
        <w:t>Ministério da Agricultura, Pecuária e Abastecimento</w:t>
      </w:r>
    </w:p>
    <w:p w14:paraId="78A448C2" w14:textId="51CA01DB" w:rsidR="00FC71CB" w:rsidRDefault="00FC71CB" w:rsidP="005C71C6">
      <w:pPr>
        <w:pStyle w:val="PargrafodaLista"/>
        <w:numPr>
          <w:ilvl w:val="0"/>
          <w:numId w:val="18"/>
        </w:numPr>
        <w:spacing w:line="360" w:lineRule="auto"/>
        <w:jc w:val="both"/>
        <w:rPr>
          <w:rFonts w:ascii="Tahoma" w:hAnsi="Tahoma" w:cs="Tahoma"/>
        </w:rPr>
      </w:pPr>
      <w:r>
        <w:rPr>
          <w:rFonts w:ascii="Tahoma" w:hAnsi="Tahoma" w:cs="Tahoma"/>
        </w:rPr>
        <w:t>Ministério do Trabalho e Emprego</w:t>
      </w:r>
    </w:p>
    <w:p w14:paraId="5CC03377" w14:textId="451646F6" w:rsidR="00FC71CB" w:rsidRDefault="00FC71CB" w:rsidP="005C71C6">
      <w:pPr>
        <w:pStyle w:val="PargrafodaLista"/>
        <w:numPr>
          <w:ilvl w:val="0"/>
          <w:numId w:val="18"/>
        </w:numPr>
        <w:spacing w:line="360" w:lineRule="auto"/>
        <w:jc w:val="both"/>
        <w:rPr>
          <w:rFonts w:ascii="Tahoma" w:hAnsi="Tahoma" w:cs="Tahoma"/>
        </w:rPr>
      </w:pPr>
      <w:r>
        <w:rPr>
          <w:rFonts w:ascii="Tahoma" w:hAnsi="Tahoma" w:cs="Tahoma"/>
        </w:rPr>
        <w:t>Ministério do Desenvolvimento, Indústria e Comércio Exterior</w:t>
      </w:r>
    </w:p>
    <w:p w14:paraId="4839D9A6" w14:textId="7ADFF6F2" w:rsidR="00FC71CB" w:rsidRDefault="00FC71CB" w:rsidP="005C71C6">
      <w:pPr>
        <w:pStyle w:val="PargrafodaLista"/>
        <w:numPr>
          <w:ilvl w:val="0"/>
          <w:numId w:val="18"/>
        </w:numPr>
        <w:spacing w:line="360" w:lineRule="auto"/>
        <w:jc w:val="both"/>
        <w:rPr>
          <w:rFonts w:ascii="Tahoma" w:hAnsi="Tahoma" w:cs="Tahoma"/>
        </w:rPr>
      </w:pPr>
      <w:r>
        <w:rPr>
          <w:rFonts w:ascii="Tahoma" w:hAnsi="Tahoma" w:cs="Tahoma"/>
        </w:rPr>
        <w:t>Ministério de Minas e Energia</w:t>
      </w:r>
    </w:p>
    <w:p w14:paraId="25632EA7" w14:textId="27A7EA16" w:rsidR="00FC71CB" w:rsidRDefault="00FC71CB" w:rsidP="005C71C6">
      <w:pPr>
        <w:pStyle w:val="PargrafodaLista"/>
        <w:numPr>
          <w:ilvl w:val="0"/>
          <w:numId w:val="18"/>
        </w:numPr>
        <w:spacing w:line="360" w:lineRule="auto"/>
        <w:jc w:val="both"/>
        <w:rPr>
          <w:rFonts w:ascii="Tahoma" w:hAnsi="Tahoma" w:cs="Tahoma"/>
        </w:rPr>
      </w:pPr>
      <w:r>
        <w:rPr>
          <w:rFonts w:ascii="Tahoma" w:hAnsi="Tahoma" w:cs="Tahoma"/>
        </w:rPr>
        <w:t>Ministério do Planejamento, Orçamento e Gestão</w:t>
      </w:r>
    </w:p>
    <w:p w14:paraId="0488BA6B" w14:textId="1FC0971D" w:rsidR="00FC71CB" w:rsidRDefault="00FC71CB" w:rsidP="005C71C6">
      <w:pPr>
        <w:pStyle w:val="PargrafodaLista"/>
        <w:numPr>
          <w:ilvl w:val="0"/>
          <w:numId w:val="18"/>
        </w:numPr>
        <w:spacing w:line="360" w:lineRule="auto"/>
        <w:jc w:val="both"/>
        <w:rPr>
          <w:rFonts w:ascii="Tahoma" w:hAnsi="Tahoma" w:cs="Tahoma"/>
        </w:rPr>
      </w:pPr>
      <w:r>
        <w:rPr>
          <w:rFonts w:ascii="Tahoma" w:hAnsi="Tahoma" w:cs="Tahoma"/>
        </w:rPr>
        <w:lastRenderedPageBreak/>
        <w:t>Ministério da Ciência e Tecnologia</w:t>
      </w:r>
    </w:p>
    <w:p w14:paraId="43EF6538" w14:textId="0DE71E46" w:rsidR="00FC71CB" w:rsidRDefault="00FC71CB" w:rsidP="005C71C6">
      <w:pPr>
        <w:pStyle w:val="PargrafodaLista"/>
        <w:numPr>
          <w:ilvl w:val="0"/>
          <w:numId w:val="18"/>
        </w:numPr>
        <w:spacing w:line="360" w:lineRule="auto"/>
        <w:jc w:val="both"/>
        <w:rPr>
          <w:rFonts w:ascii="Tahoma" w:hAnsi="Tahoma" w:cs="Tahoma"/>
        </w:rPr>
      </w:pPr>
      <w:r>
        <w:rPr>
          <w:rFonts w:ascii="Tahoma" w:hAnsi="Tahoma" w:cs="Tahoma"/>
        </w:rPr>
        <w:t>Ministério do Meio Ambiente</w:t>
      </w:r>
    </w:p>
    <w:p w14:paraId="539A59F5" w14:textId="4CED2506" w:rsidR="00FC71CB" w:rsidRDefault="00FC71CB" w:rsidP="005C71C6">
      <w:pPr>
        <w:pStyle w:val="PargrafodaLista"/>
        <w:numPr>
          <w:ilvl w:val="0"/>
          <w:numId w:val="18"/>
        </w:numPr>
        <w:spacing w:line="360" w:lineRule="auto"/>
        <w:jc w:val="both"/>
        <w:rPr>
          <w:rFonts w:ascii="Tahoma" w:hAnsi="Tahoma" w:cs="Tahoma"/>
        </w:rPr>
      </w:pPr>
      <w:r>
        <w:rPr>
          <w:rFonts w:ascii="Tahoma" w:hAnsi="Tahoma" w:cs="Tahoma"/>
        </w:rPr>
        <w:t>Ministério do Desenvolvimento Agrário</w:t>
      </w:r>
    </w:p>
    <w:p w14:paraId="11A7609E" w14:textId="204046DA" w:rsidR="00FC71CB" w:rsidRDefault="00FC71CB" w:rsidP="005C71C6">
      <w:pPr>
        <w:pStyle w:val="PargrafodaLista"/>
        <w:numPr>
          <w:ilvl w:val="0"/>
          <w:numId w:val="18"/>
        </w:numPr>
        <w:spacing w:line="360" w:lineRule="auto"/>
        <w:jc w:val="both"/>
        <w:rPr>
          <w:rFonts w:ascii="Tahoma" w:hAnsi="Tahoma" w:cs="Tahoma"/>
        </w:rPr>
      </w:pPr>
      <w:r>
        <w:rPr>
          <w:rFonts w:ascii="Tahoma" w:hAnsi="Tahoma" w:cs="Tahoma"/>
        </w:rPr>
        <w:t>Ministério da Integração Nacional</w:t>
      </w:r>
    </w:p>
    <w:p w14:paraId="39F3AF0A" w14:textId="2F2D67A9" w:rsidR="00FC71CB" w:rsidRDefault="00FC71CB" w:rsidP="005C71C6">
      <w:pPr>
        <w:pStyle w:val="PargrafodaLista"/>
        <w:numPr>
          <w:ilvl w:val="0"/>
          <w:numId w:val="18"/>
        </w:numPr>
        <w:spacing w:line="360" w:lineRule="auto"/>
        <w:jc w:val="both"/>
        <w:rPr>
          <w:rFonts w:ascii="Tahoma" w:hAnsi="Tahoma" w:cs="Tahoma"/>
        </w:rPr>
      </w:pPr>
      <w:r>
        <w:rPr>
          <w:rFonts w:ascii="Tahoma" w:hAnsi="Tahoma" w:cs="Tahoma"/>
        </w:rPr>
        <w:t>Ministério das Cidades</w:t>
      </w:r>
    </w:p>
    <w:p w14:paraId="21845FA5" w14:textId="602E9C5F" w:rsidR="00FC71CB" w:rsidRPr="00FC71CB" w:rsidRDefault="00FC71CB" w:rsidP="005C71C6">
      <w:pPr>
        <w:pStyle w:val="PargrafodaLista"/>
        <w:numPr>
          <w:ilvl w:val="0"/>
          <w:numId w:val="18"/>
        </w:numPr>
        <w:spacing w:line="360" w:lineRule="auto"/>
        <w:jc w:val="both"/>
        <w:rPr>
          <w:rFonts w:ascii="Tahoma" w:hAnsi="Tahoma" w:cs="Tahoma"/>
        </w:rPr>
      </w:pPr>
      <w:r>
        <w:rPr>
          <w:rFonts w:ascii="Tahoma" w:hAnsi="Tahoma" w:cs="Tahoma"/>
        </w:rPr>
        <w:t>Ministério do Desenvolvimento Social</w:t>
      </w:r>
    </w:p>
    <w:p w14:paraId="21F7F602" w14:textId="346501D2" w:rsidR="00FD1CAE" w:rsidRDefault="00FC71CB" w:rsidP="00FD1CAE">
      <w:pPr>
        <w:pStyle w:val="PargrafodaLista"/>
        <w:keepNext/>
        <w:spacing w:before="240" w:after="240" w:line="360" w:lineRule="auto"/>
        <w:ind w:left="284" w:firstLine="226"/>
        <w:jc w:val="both"/>
        <w:rPr>
          <w:rFonts w:ascii="Tahoma" w:hAnsi="Tahoma" w:cs="Tahoma"/>
        </w:rPr>
      </w:pPr>
      <w:r>
        <w:rPr>
          <w:rFonts w:ascii="Tahoma" w:hAnsi="Tahoma" w:cs="Tahoma"/>
        </w:rPr>
        <w:t xml:space="preserve">Ao </w:t>
      </w:r>
      <w:r w:rsidR="00FD1CAE">
        <w:rPr>
          <w:rFonts w:ascii="Tahoma" w:hAnsi="Tahoma" w:cs="Tahoma"/>
        </w:rPr>
        <w:t>Grupo Gestor, sob coordenação do Ministério de Minas e Energia, competia a execução das ações relativas à gestão operacional e administrativa voltadas para o cumprimento das estratégias e diretrizes definidas pela CEIB. O Grupo Gestor era composto de:</w:t>
      </w:r>
    </w:p>
    <w:p w14:paraId="0109662F" w14:textId="0086BDFC" w:rsidR="00FD1CAE" w:rsidRDefault="00FD1CAE" w:rsidP="00CB77FD">
      <w:pPr>
        <w:pStyle w:val="PargrafodaLista"/>
        <w:keepNext/>
        <w:numPr>
          <w:ilvl w:val="0"/>
          <w:numId w:val="19"/>
        </w:numPr>
        <w:spacing w:line="360" w:lineRule="auto"/>
        <w:jc w:val="both"/>
        <w:rPr>
          <w:rFonts w:ascii="Tahoma" w:hAnsi="Tahoma" w:cs="Tahoma"/>
        </w:rPr>
      </w:pPr>
      <w:r>
        <w:rPr>
          <w:rFonts w:ascii="Tahoma" w:hAnsi="Tahoma" w:cs="Tahoma"/>
        </w:rPr>
        <w:t>Ministério de Minas e Energia</w:t>
      </w:r>
      <w:r w:rsidR="001F4E72">
        <w:rPr>
          <w:rFonts w:ascii="Tahoma" w:hAnsi="Tahoma" w:cs="Tahoma"/>
        </w:rPr>
        <w:t>;</w:t>
      </w:r>
    </w:p>
    <w:p w14:paraId="7E53FD06" w14:textId="7C090160" w:rsidR="00FD1CAE" w:rsidRDefault="00FD1CAE" w:rsidP="00CB77FD">
      <w:pPr>
        <w:pStyle w:val="PargrafodaLista"/>
        <w:keepNext/>
        <w:numPr>
          <w:ilvl w:val="0"/>
          <w:numId w:val="19"/>
        </w:numPr>
        <w:spacing w:line="360" w:lineRule="auto"/>
        <w:jc w:val="both"/>
        <w:rPr>
          <w:rFonts w:ascii="Tahoma" w:hAnsi="Tahoma" w:cs="Tahoma"/>
        </w:rPr>
      </w:pPr>
      <w:r>
        <w:rPr>
          <w:rFonts w:ascii="Tahoma" w:hAnsi="Tahoma" w:cs="Tahoma"/>
        </w:rPr>
        <w:t>Casa Civil da Presidência da República</w:t>
      </w:r>
      <w:r w:rsidR="001F4E72">
        <w:rPr>
          <w:rFonts w:ascii="Tahoma" w:hAnsi="Tahoma" w:cs="Tahoma"/>
        </w:rPr>
        <w:t>;</w:t>
      </w:r>
    </w:p>
    <w:p w14:paraId="670B47B2" w14:textId="7AD943BF" w:rsidR="00FD1CAE" w:rsidRDefault="00FD1CAE" w:rsidP="00CB77FD">
      <w:pPr>
        <w:pStyle w:val="PargrafodaLista"/>
        <w:keepNext/>
        <w:numPr>
          <w:ilvl w:val="0"/>
          <w:numId w:val="19"/>
        </w:numPr>
        <w:spacing w:line="360" w:lineRule="auto"/>
        <w:jc w:val="both"/>
        <w:rPr>
          <w:rFonts w:ascii="Tahoma" w:hAnsi="Tahoma" w:cs="Tahoma"/>
        </w:rPr>
      </w:pPr>
      <w:r>
        <w:rPr>
          <w:rFonts w:ascii="Tahoma" w:hAnsi="Tahoma" w:cs="Tahoma"/>
        </w:rPr>
        <w:t>Ministério da Ciência e Tecnologia</w:t>
      </w:r>
      <w:r w:rsidR="001F4E72">
        <w:rPr>
          <w:rFonts w:ascii="Tahoma" w:hAnsi="Tahoma" w:cs="Tahoma"/>
        </w:rPr>
        <w:t>;</w:t>
      </w:r>
    </w:p>
    <w:p w14:paraId="0EFD58DA" w14:textId="074B9D2C" w:rsidR="00FD1CAE" w:rsidRDefault="00FD1CAE" w:rsidP="00CB77FD">
      <w:pPr>
        <w:pStyle w:val="PargrafodaLista"/>
        <w:keepNext/>
        <w:numPr>
          <w:ilvl w:val="0"/>
          <w:numId w:val="19"/>
        </w:numPr>
        <w:spacing w:line="360" w:lineRule="auto"/>
        <w:jc w:val="both"/>
        <w:rPr>
          <w:rFonts w:ascii="Tahoma" w:hAnsi="Tahoma" w:cs="Tahoma"/>
        </w:rPr>
      </w:pPr>
      <w:r>
        <w:rPr>
          <w:rFonts w:ascii="Tahoma" w:hAnsi="Tahoma" w:cs="Tahoma"/>
        </w:rPr>
        <w:t>Ministério do Desenvolvimento Agrário</w:t>
      </w:r>
      <w:r w:rsidR="001F4E72">
        <w:rPr>
          <w:rFonts w:ascii="Tahoma" w:hAnsi="Tahoma" w:cs="Tahoma"/>
        </w:rPr>
        <w:t>;</w:t>
      </w:r>
    </w:p>
    <w:p w14:paraId="2890182E" w14:textId="06D728F9" w:rsidR="00FD1CAE" w:rsidRDefault="00FD1CAE" w:rsidP="00CB77FD">
      <w:pPr>
        <w:pStyle w:val="PargrafodaLista"/>
        <w:keepNext/>
        <w:numPr>
          <w:ilvl w:val="0"/>
          <w:numId w:val="19"/>
        </w:numPr>
        <w:spacing w:line="360" w:lineRule="auto"/>
        <w:jc w:val="both"/>
        <w:rPr>
          <w:rFonts w:ascii="Tahoma" w:hAnsi="Tahoma" w:cs="Tahoma"/>
        </w:rPr>
      </w:pPr>
      <w:r>
        <w:rPr>
          <w:rFonts w:ascii="Tahoma" w:hAnsi="Tahoma" w:cs="Tahoma"/>
        </w:rPr>
        <w:t>Ministério do Desenvolvimento, Indústria e Comércio Exterior</w:t>
      </w:r>
      <w:r w:rsidR="001F4E72">
        <w:rPr>
          <w:rFonts w:ascii="Tahoma" w:hAnsi="Tahoma" w:cs="Tahoma"/>
        </w:rPr>
        <w:t>;</w:t>
      </w:r>
    </w:p>
    <w:p w14:paraId="204BB99C" w14:textId="1E78440B" w:rsidR="00FD1CAE" w:rsidRDefault="00FD1CAE" w:rsidP="00CB77FD">
      <w:pPr>
        <w:pStyle w:val="PargrafodaLista"/>
        <w:keepNext/>
        <w:numPr>
          <w:ilvl w:val="0"/>
          <w:numId w:val="19"/>
        </w:numPr>
        <w:spacing w:line="360" w:lineRule="auto"/>
        <w:jc w:val="both"/>
        <w:rPr>
          <w:rFonts w:ascii="Tahoma" w:hAnsi="Tahoma" w:cs="Tahoma"/>
        </w:rPr>
      </w:pPr>
      <w:r>
        <w:rPr>
          <w:rFonts w:ascii="Tahoma" w:hAnsi="Tahoma" w:cs="Tahoma"/>
        </w:rPr>
        <w:t>Ministério do Planejamento, Orçamento e Gestão</w:t>
      </w:r>
      <w:r w:rsidR="001F4E72">
        <w:rPr>
          <w:rFonts w:ascii="Tahoma" w:hAnsi="Tahoma" w:cs="Tahoma"/>
        </w:rPr>
        <w:t>;</w:t>
      </w:r>
    </w:p>
    <w:p w14:paraId="74F6B909" w14:textId="4249A629" w:rsidR="00FD1CAE" w:rsidRDefault="00FD1CAE" w:rsidP="00CB77FD">
      <w:pPr>
        <w:pStyle w:val="PargrafodaLista"/>
        <w:keepNext/>
        <w:numPr>
          <w:ilvl w:val="0"/>
          <w:numId w:val="19"/>
        </w:numPr>
        <w:spacing w:line="360" w:lineRule="auto"/>
        <w:jc w:val="both"/>
        <w:rPr>
          <w:rFonts w:ascii="Tahoma" w:hAnsi="Tahoma" w:cs="Tahoma"/>
        </w:rPr>
      </w:pPr>
      <w:r>
        <w:rPr>
          <w:rFonts w:ascii="Tahoma" w:hAnsi="Tahoma" w:cs="Tahoma"/>
        </w:rPr>
        <w:t>Ministério da Fazenda</w:t>
      </w:r>
      <w:r w:rsidR="001F4E72">
        <w:rPr>
          <w:rFonts w:ascii="Tahoma" w:hAnsi="Tahoma" w:cs="Tahoma"/>
        </w:rPr>
        <w:t>;</w:t>
      </w:r>
    </w:p>
    <w:p w14:paraId="26649D31" w14:textId="3D7EBDF1" w:rsidR="00FD1CAE" w:rsidRDefault="00FD1CAE" w:rsidP="00CB77FD">
      <w:pPr>
        <w:pStyle w:val="PargrafodaLista"/>
        <w:keepNext/>
        <w:numPr>
          <w:ilvl w:val="0"/>
          <w:numId w:val="19"/>
        </w:numPr>
        <w:spacing w:line="360" w:lineRule="auto"/>
        <w:jc w:val="both"/>
        <w:rPr>
          <w:rFonts w:ascii="Tahoma" w:hAnsi="Tahoma" w:cs="Tahoma"/>
        </w:rPr>
      </w:pPr>
      <w:r>
        <w:rPr>
          <w:rFonts w:ascii="Tahoma" w:hAnsi="Tahoma" w:cs="Tahoma"/>
        </w:rPr>
        <w:t>Ministério do Meio Ambiente</w:t>
      </w:r>
      <w:r w:rsidR="001F4E72">
        <w:rPr>
          <w:rFonts w:ascii="Tahoma" w:hAnsi="Tahoma" w:cs="Tahoma"/>
        </w:rPr>
        <w:t>;</w:t>
      </w:r>
    </w:p>
    <w:p w14:paraId="0A083073" w14:textId="3E3CCC84" w:rsidR="00FD1CAE" w:rsidRDefault="00FD1CAE" w:rsidP="00CB77FD">
      <w:pPr>
        <w:pStyle w:val="PargrafodaLista"/>
        <w:keepNext/>
        <w:numPr>
          <w:ilvl w:val="0"/>
          <w:numId w:val="19"/>
        </w:numPr>
        <w:spacing w:line="360" w:lineRule="auto"/>
        <w:jc w:val="both"/>
        <w:rPr>
          <w:rFonts w:ascii="Tahoma" w:hAnsi="Tahoma" w:cs="Tahoma"/>
        </w:rPr>
      </w:pPr>
      <w:r>
        <w:rPr>
          <w:rFonts w:ascii="Tahoma" w:hAnsi="Tahoma" w:cs="Tahoma"/>
        </w:rPr>
        <w:t>Ministério da Integração Nacional</w:t>
      </w:r>
      <w:r w:rsidR="001F4E72">
        <w:rPr>
          <w:rFonts w:ascii="Tahoma" w:hAnsi="Tahoma" w:cs="Tahoma"/>
        </w:rPr>
        <w:t>;</w:t>
      </w:r>
    </w:p>
    <w:p w14:paraId="7453DFE9" w14:textId="319F1030" w:rsidR="00FD1CAE" w:rsidRDefault="00FD1CAE" w:rsidP="00CB77FD">
      <w:pPr>
        <w:pStyle w:val="PargrafodaLista"/>
        <w:keepNext/>
        <w:numPr>
          <w:ilvl w:val="0"/>
          <w:numId w:val="19"/>
        </w:numPr>
        <w:spacing w:line="360" w:lineRule="auto"/>
        <w:jc w:val="both"/>
        <w:rPr>
          <w:rFonts w:ascii="Tahoma" w:hAnsi="Tahoma" w:cs="Tahoma"/>
        </w:rPr>
      </w:pPr>
      <w:r>
        <w:rPr>
          <w:rFonts w:ascii="Tahoma" w:hAnsi="Tahoma" w:cs="Tahoma"/>
        </w:rPr>
        <w:t>Ministério da Agricultura, Pecuária e Abastecimento</w:t>
      </w:r>
      <w:r w:rsidR="001F4E72">
        <w:rPr>
          <w:rFonts w:ascii="Tahoma" w:hAnsi="Tahoma" w:cs="Tahoma"/>
        </w:rPr>
        <w:t>;</w:t>
      </w:r>
    </w:p>
    <w:p w14:paraId="6136B51D" w14:textId="5BA70607" w:rsidR="00FD1CAE" w:rsidRDefault="00FD1CAE" w:rsidP="00CB77FD">
      <w:pPr>
        <w:pStyle w:val="PargrafodaLista"/>
        <w:keepNext/>
        <w:numPr>
          <w:ilvl w:val="0"/>
          <w:numId w:val="19"/>
        </w:numPr>
        <w:spacing w:line="360" w:lineRule="auto"/>
        <w:jc w:val="both"/>
        <w:rPr>
          <w:rFonts w:ascii="Tahoma" w:hAnsi="Tahoma" w:cs="Tahoma"/>
        </w:rPr>
      </w:pPr>
      <w:r>
        <w:rPr>
          <w:rFonts w:ascii="Tahoma" w:hAnsi="Tahoma" w:cs="Tahoma"/>
        </w:rPr>
        <w:t>Banco Nacional de Desenvolvimento Econômico e Social (BNDES)</w:t>
      </w:r>
      <w:r w:rsidR="001F4E72">
        <w:rPr>
          <w:rFonts w:ascii="Tahoma" w:hAnsi="Tahoma" w:cs="Tahoma"/>
        </w:rPr>
        <w:t>;</w:t>
      </w:r>
    </w:p>
    <w:p w14:paraId="013476F3" w14:textId="19909B6B" w:rsidR="00FD1CAE" w:rsidRDefault="00FD1CAE" w:rsidP="00CB77FD">
      <w:pPr>
        <w:pStyle w:val="PargrafodaLista"/>
        <w:keepNext/>
        <w:numPr>
          <w:ilvl w:val="0"/>
          <w:numId w:val="19"/>
        </w:numPr>
        <w:spacing w:line="360" w:lineRule="auto"/>
        <w:jc w:val="both"/>
        <w:rPr>
          <w:rFonts w:ascii="Tahoma" w:hAnsi="Tahoma" w:cs="Tahoma"/>
        </w:rPr>
      </w:pPr>
      <w:r>
        <w:rPr>
          <w:rFonts w:ascii="Tahoma" w:hAnsi="Tahoma" w:cs="Tahoma"/>
        </w:rPr>
        <w:t>Agência Nacional do Petróleo (ANP)</w:t>
      </w:r>
      <w:r w:rsidR="001F4E72">
        <w:rPr>
          <w:rFonts w:ascii="Tahoma" w:hAnsi="Tahoma" w:cs="Tahoma"/>
        </w:rPr>
        <w:t>;</w:t>
      </w:r>
    </w:p>
    <w:p w14:paraId="0060BA78" w14:textId="55A0EC28" w:rsidR="00FD1CAE" w:rsidRDefault="00FD1CAE" w:rsidP="00CB77FD">
      <w:pPr>
        <w:pStyle w:val="PargrafodaLista"/>
        <w:keepNext/>
        <w:numPr>
          <w:ilvl w:val="0"/>
          <w:numId w:val="19"/>
        </w:numPr>
        <w:spacing w:line="360" w:lineRule="auto"/>
        <w:jc w:val="both"/>
        <w:rPr>
          <w:rFonts w:ascii="Tahoma" w:hAnsi="Tahoma" w:cs="Tahoma"/>
        </w:rPr>
      </w:pPr>
      <w:r>
        <w:rPr>
          <w:rFonts w:ascii="Tahoma" w:hAnsi="Tahoma" w:cs="Tahoma"/>
        </w:rPr>
        <w:t>Petróleo Brasileiro S.A. (Petrobras)</w:t>
      </w:r>
      <w:r w:rsidR="001F4E72">
        <w:rPr>
          <w:rFonts w:ascii="Tahoma" w:hAnsi="Tahoma" w:cs="Tahoma"/>
        </w:rPr>
        <w:t>;</w:t>
      </w:r>
    </w:p>
    <w:p w14:paraId="43EF57ED" w14:textId="21F88206" w:rsidR="001F4E72" w:rsidRDefault="00FD1CAE" w:rsidP="00CB77FD">
      <w:pPr>
        <w:pStyle w:val="PargrafodaLista"/>
        <w:keepNext/>
        <w:numPr>
          <w:ilvl w:val="0"/>
          <w:numId w:val="19"/>
        </w:numPr>
        <w:spacing w:line="360" w:lineRule="auto"/>
        <w:jc w:val="both"/>
        <w:rPr>
          <w:rFonts w:ascii="Tahoma" w:hAnsi="Tahoma" w:cs="Tahoma"/>
        </w:rPr>
      </w:pPr>
      <w:r>
        <w:rPr>
          <w:rFonts w:ascii="Tahoma" w:hAnsi="Tahoma" w:cs="Tahoma"/>
        </w:rPr>
        <w:t xml:space="preserve">Empresa Brasileira de Pesquisa Agropecuária </w:t>
      </w:r>
      <w:r w:rsidR="001F4E72">
        <w:rPr>
          <w:rFonts w:ascii="Tahoma" w:hAnsi="Tahoma" w:cs="Tahoma"/>
        </w:rPr>
        <w:t>–</w:t>
      </w:r>
      <w:r>
        <w:rPr>
          <w:rFonts w:ascii="Tahoma" w:hAnsi="Tahoma" w:cs="Tahoma"/>
        </w:rPr>
        <w:t xml:space="preserve"> Embrapa</w:t>
      </w:r>
      <w:r w:rsidR="001F4E72">
        <w:rPr>
          <w:rFonts w:ascii="Tahoma" w:hAnsi="Tahoma" w:cs="Tahoma"/>
        </w:rPr>
        <w:t>;</w:t>
      </w:r>
    </w:p>
    <w:p w14:paraId="5C4F9FB9" w14:textId="2D940109" w:rsidR="00FD1CAE" w:rsidRPr="00FD1CAE" w:rsidRDefault="001F4E72" w:rsidP="005C71C6">
      <w:pPr>
        <w:pStyle w:val="PargrafodaLista"/>
        <w:numPr>
          <w:ilvl w:val="0"/>
          <w:numId w:val="19"/>
        </w:numPr>
        <w:spacing w:line="360" w:lineRule="auto"/>
        <w:jc w:val="both"/>
        <w:rPr>
          <w:rFonts w:ascii="Tahoma" w:hAnsi="Tahoma" w:cs="Tahoma"/>
        </w:rPr>
      </w:pPr>
      <w:r>
        <w:rPr>
          <w:rFonts w:ascii="Tahoma" w:hAnsi="Tahoma" w:cs="Tahoma"/>
        </w:rPr>
        <w:t>Ministério do Desenvolvimento Social;</w:t>
      </w:r>
      <w:r w:rsidR="00FD1CAE">
        <w:rPr>
          <w:rFonts w:ascii="Tahoma" w:hAnsi="Tahoma" w:cs="Tahoma"/>
        </w:rPr>
        <w:t xml:space="preserve"> </w:t>
      </w:r>
    </w:p>
    <w:p w14:paraId="6245117D" w14:textId="51D74A98" w:rsidR="00322175" w:rsidRDefault="00024903" w:rsidP="005C71C6">
      <w:pPr>
        <w:pStyle w:val="PargrafodaLista"/>
        <w:spacing w:before="240" w:after="240" w:line="360" w:lineRule="auto"/>
        <w:ind w:left="284" w:firstLine="226"/>
        <w:jc w:val="both"/>
        <w:rPr>
          <w:rFonts w:ascii="Tahoma" w:hAnsi="Tahoma" w:cs="Tahoma"/>
        </w:rPr>
      </w:pPr>
      <w:r w:rsidRPr="6435AFD3">
        <w:rPr>
          <w:rFonts w:ascii="Tahoma" w:hAnsi="Tahoma" w:cs="Tahoma"/>
        </w:rPr>
        <w:t>Como resultado primário do Grupo de Trabalho do Biodiesel foi instituída a</w:t>
      </w:r>
      <w:r w:rsidR="00D365BF" w:rsidRPr="6435AFD3">
        <w:rPr>
          <w:rFonts w:ascii="Tahoma" w:hAnsi="Tahoma" w:cs="Tahoma"/>
        </w:rPr>
        <w:t xml:space="preserve"> Lei 11.097/2005</w:t>
      </w:r>
      <w:r w:rsidR="038D34BD" w:rsidRPr="6435AFD3">
        <w:rPr>
          <w:rFonts w:ascii="Tahoma" w:hAnsi="Tahoma" w:cs="Tahoma"/>
        </w:rPr>
        <w:t>,</w:t>
      </w:r>
      <w:r w:rsidR="00D365BF" w:rsidRPr="6435AFD3">
        <w:rPr>
          <w:rFonts w:ascii="Tahoma" w:hAnsi="Tahoma" w:cs="Tahoma"/>
        </w:rPr>
        <w:t xml:space="preserve"> </w:t>
      </w:r>
      <w:r w:rsidRPr="6435AFD3">
        <w:rPr>
          <w:rFonts w:ascii="Tahoma" w:hAnsi="Tahoma" w:cs="Tahoma"/>
        </w:rPr>
        <w:t>que se caracterizou como</w:t>
      </w:r>
      <w:r w:rsidR="00D365BF" w:rsidRPr="6435AFD3">
        <w:rPr>
          <w:rFonts w:ascii="Tahoma" w:hAnsi="Tahoma" w:cs="Tahoma"/>
        </w:rPr>
        <w:t xml:space="preserve"> primeiro marco legal do biodiesel no país estabelecendo o incremento</w:t>
      </w:r>
      <w:r w:rsidR="6BFC4B3F" w:rsidRPr="6435AFD3">
        <w:rPr>
          <w:rFonts w:ascii="Tahoma" w:hAnsi="Tahoma" w:cs="Tahoma"/>
        </w:rPr>
        <w:t xml:space="preserve"> </w:t>
      </w:r>
      <w:r w:rsidR="00D365BF" w:rsidRPr="6435AFD3">
        <w:rPr>
          <w:rFonts w:ascii="Tahoma" w:hAnsi="Tahoma" w:cs="Tahoma"/>
        </w:rPr>
        <w:t>da participação de biocombustíveis na matriz energética</w:t>
      </w:r>
      <w:r w:rsidR="00EA43F2" w:rsidRPr="6435AFD3">
        <w:rPr>
          <w:rFonts w:ascii="Tahoma" w:hAnsi="Tahoma" w:cs="Tahoma"/>
        </w:rPr>
        <w:t xml:space="preserve"> e estabelecendo o </w:t>
      </w:r>
      <w:commentRangeStart w:id="1"/>
      <w:r w:rsidR="00EA43F2" w:rsidRPr="005C71C6">
        <w:rPr>
          <w:rFonts w:ascii="Tahoma" w:hAnsi="Tahoma" w:cs="Tahoma"/>
        </w:rPr>
        <w:t>tripé</w:t>
      </w:r>
      <w:commentRangeEnd w:id="1"/>
      <w:r w:rsidRPr="6435AFD3">
        <w:rPr>
          <w:rStyle w:val="Refdecomentrio"/>
          <w:rFonts w:ascii="Tahoma" w:hAnsi="Tahoma" w:cs="Tahoma"/>
          <w:sz w:val="22"/>
          <w:szCs w:val="22"/>
        </w:rPr>
        <w:commentReference w:id="1"/>
      </w:r>
      <w:r w:rsidR="00EA43F2" w:rsidRPr="005C71C6">
        <w:rPr>
          <w:rFonts w:ascii="Tahoma" w:hAnsi="Tahoma" w:cs="Tahoma"/>
        </w:rPr>
        <w:t xml:space="preserve"> social, econômico e ambiental</w:t>
      </w:r>
      <w:r w:rsidR="00EA43F2" w:rsidRPr="6435AFD3">
        <w:rPr>
          <w:rFonts w:ascii="Tahoma" w:hAnsi="Tahoma" w:cs="Tahoma"/>
        </w:rPr>
        <w:t xml:space="preserve"> </w:t>
      </w:r>
      <w:r w:rsidR="00D365BF" w:rsidRPr="6435AFD3">
        <w:rPr>
          <w:rFonts w:ascii="Tahoma" w:hAnsi="Tahoma" w:cs="Tahoma"/>
        </w:rPr>
        <w:t>como um dos objetivos da Política Energética Nacional.</w:t>
      </w:r>
      <w:r w:rsidRPr="6435AFD3">
        <w:rPr>
          <w:rFonts w:ascii="Tahoma" w:hAnsi="Tahoma" w:cs="Tahoma"/>
        </w:rPr>
        <w:t xml:space="preserve"> </w:t>
      </w:r>
    </w:p>
    <w:p w14:paraId="5593E73E" w14:textId="2935D7C5" w:rsidR="00EF35F1" w:rsidRDefault="00322175" w:rsidP="00017EFC">
      <w:pPr>
        <w:pStyle w:val="PargrafodaLista"/>
        <w:spacing w:before="240" w:after="240" w:line="360" w:lineRule="auto"/>
        <w:ind w:left="284" w:firstLine="227"/>
        <w:jc w:val="both"/>
        <w:rPr>
          <w:rFonts w:ascii="Tahoma" w:hAnsi="Tahoma" w:cs="Tahoma"/>
        </w:rPr>
      </w:pPr>
      <w:r>
        <w:rPr>
          <w:rFonts w:ascii="Tahoma" w:hAnsi="Tahoma" w:cs="Tahoma"/>
        </w:rPr>
        <w:t xml:space="preserve">A Lei 11.097/2005 </w:t>
      </w:r>
      <w:r w:rsidR="00BD75F2">
        <w:rPr>
          <w:rFonts w:ascii="Tahoma" w:hAnsi="Tahoma" w:cs="Tahoma"/>
        </w:rPr>
        <w:t xml:space="preserve">definiu </w:t>
      </w:r>
      <w:r>
        <w:rPr>
          <w:rFonts w:ascii="Tahoma" w:hAnsi="Tahoma" w:cs="Tahoma"/>
        </w:rPr>
        <w:t xml:space="preserve">o biodiesel </w:t>
      </w:r>
      <w:r w:rsidR="008C366A">
        <w:rPr>
          <w:rFonts w:ascii="Tahoma" w:hAnsi="Tahoma" w:cs="Tahoma"/>
        </w:rPr>
        <w:t>como o</w:t>
      </w:r>
      <w:r>
        <w:rPr>
          <w:rFonts w:ascii="Tahoma" w:hAnsi="Tahoma" w:cs="Tahoma"/>
        </w:rPr>
        <w:t xml:space="preserve"> combustível derivado de biomassa renovável para uso em motores a combustão com ignição por compressão</w:t>
      </w:r>
      <w:r w:rsidR="00055F5D" w:rsidRPr="00055F5D">
        <w:t xml:space="preserve"> </w:t>
      </w:r>
      <w:r w:rsidR="00055F5D" w:rsidRPr="00055F5D">
        <w:rPr>
          <w:rFonts w:ascii="Tahoma" w:hAnsi="Tahoma" w:cs="Tahoma"/>
        </w:rPr>
        <w:t>ou, conforme regulamento, para geração de outro tipo de energia</w:t>
      </w:r>
      <w:r>
        <w:rPr>
          <w:rFonts w:ascii="Tahoma" w:hAnsi="Tahoma" w:cs="Tahoma"/>
        </w:rPr>
        <w:t>.</w:t>
      </w:r>
      <w:r w:rsidR="00FF3687">
        <w:rPr>
          <w:rFonts w:ascii="Tahoma" w:hAnsi="Tahoma" w:cs="Tahoma"/>
        </w:rPr>
        <w:t xml:space="preserve"> </w:t>
      </w:r>
      <w:r w:rsidR="00FF3687" w:rsidRPr="00FF3687">
        <w:rPr>
          <w:rFonts w:ascii="Tahoma" w:hAnsi="Tahoma" w:cs="Tahoma"/>
        </w:rPr>
        <w:t>A definição legal foi propositalmente ampla e tecnologicamente neutra, de forma a abranger diferentes rotas de produção.</w:t>
      </w:r>
    </w:p>
    <w:p w14:paraId="1CFD6C8F" w14:textId="77777777" w:rsidR="00EF35F1" w:rsidRDefault="00EF35F1" w:rsidP="00017EFC">
      <w:pPr>
        <w:pStyle w:val="PargrafodaLista"/>
        <w:spacing w:before="240" w:after="240" w:line="360" w:lineRule="auto"/>
        <w:ind w:left="284" w:firstLine="227"/>
        <w:jc w:val="both"/>
        <w:rPr>
          <w:rFonts w:ascii="Tahoma" w:hAnsi="Tahoma" w:cs="Tahoma"/>
        </w:rPr>
      </w:pPr>
      <w:r w:rsidRPr="00EF35F1">
        <w:rPr>
          <w:rFonts w:ascii="Tahoma" w:hAnsi="Tahoma" w:cs="Tahoma"/>
        </w:rPr>
        <w:lastRenderedPageBreak/>
        <w:t>Posteriormente, no exercício de sua competência regulatória, a ANP estabeleceu especificações técnicas para comercialização do produto no mercado brasileiro, passando a caracterizar o biodiesel como combustível composto por alquil ésteres de ácidos graxos de cadeia longa produzidos por transesterificação e destinado ao uso em motores do ciclo diesel. Dessa forma, embora a definição legal permanecesse abrangente, o biodiesel comercializado para atendimento das políticas públicas do setor passou a corresponder, na prática regulatória, ao produto obtido por essa rota tecnológica.</w:t>
      </w:r>
    </w:p>
    <w:p w14:paraId="0DF647C3" w14:textId="47879A5C" w:rsidR="00D365BF" w:rsidRDefault="00592329" w:rsidP="005C71C6">
      <w:pPr>
        <w:pStyle w:val="PargrafodaLista"/>
        <w:spacing w:before="240" w:after="120" w:line="360" w:lineRule="auto"/>
        <w:ind w:left="284" w:firstLine="227"/>
        <w:jc w:val="both"/>
        <w:rPr>
          <w:rFonts w:ascii="Tahoma" w:hAnsi="Tahoma" w:cs="Tahoma"/>
        </w:rPr>
      </w:pPr>
      <w:r w:rsidRPr="00592329">
        <w:rPr>
          <w:rFonts w:ascii="Tahoma" w:hAnsi="Tahoma" w:cs="Tahoma"/>
        </w:rPr>
        <w:t xml:space="preserve">A Lei nº 11.097/2005 também atribuiu </w:t>
      </w:r>
      <w:r w:rsidR="00322175">
        <w:rPr>
          <w:rFonts w:ascii="Tahoma" w:hAnsi="Tahoma" w:cs="Tahoma"/>
        </w:rPr>
        <w:t xml:space="preserve">à ANP a atribuição de regular, contratar e fiscalizar as atividades econômicas integrantes da indústria do </w:t>
      </w:r>
      <w:r w:rsidR="001133F4">
        <w:rPr>
          <w:rFonts w:ascii="Tahoma" w:hAnsi="Tahoma" w:cs="Tahoma"/>
        </w:rPr>
        <w:t>b</w:t>
      </w:r>
      <w:r w:rsidR="00322175">
        <w:rPr>
          <w:rFonts w:ascii="Tahoma" w:hAnsi="Tahoma" w:cs="Tahoma"/>
        </w:rPr>
        <w:t>iodiesel. Estabeleceu também 3 usos principais do biocombustível:</w:t>
      </w:r>
    </w:p>
    <w:p w14:paraId="51CFDC76" w14:textId="6D6BA3C1" w:rsidR="00322175" w:rsidRDefault="00322175" w:rsidP="005C71C6">
      <w:pPr>
        <w:pStyle w:val="PargrafodaLista"/>
        <w:numPr>
          <w:ilvl w:val="0"/>
          <w:numId w:val="20"/>
        </w:numPr>
        <w:spacing w:line="360" w:lineRule="auto"/>
        <w:jc w:val="both"/>
        <w:rPr>
          <w:rFonts w:ascii="Tahoma" w:hAnsi="Tahoma" w:cs="Tahoma"/>
        </w:rPr>
      </w:pPr>
      <w:r>
        <w:rPr>
          <w:rFonts w:ascii="Tahoma" w:hAnsi="Tahoma" w:cs="Tahoma"/>
        </w:rPr>
        <w:t xml:space="preserve">Atendimento a </w:t>
      </w:r>
      <w:r w:rsidR="003625FE">
        <w:rPr>
          <w:rFonts w:ascii="Tahoma" w:hAnsi="Tahoma" w:cs="Tahoma"/>
        </w:rPr>
        <w:t>m</w:t>
      </w:r>
      <w:r>
        <w:rPr>
          <w:rFonts w:ascii="Tahoma" w:hAnsi="Tahoma" w:cs="Tahoma"/>
        </w:rPr>
        <w:t>istura obrigatória</w:t>
      </w:r>
    </w:p>
    <w:p w14:paraId="0E228F5B" w14:textId="72412698" w:rsidR="00322175" w:rsidRDefault="00322175" w:rsidP="005C71C6">
      <w:pPr>
        <w:pStyle w:val="PargrafodaLista"/>
        <w:numPr>
          <w:ilvl w:val="0"/>
          <w:numId w:val="20"/>
        </w:numPr>
        <w:spacing w:line="360" w:lineRule="auto"/>
        <w:jc w:val="both"/>
        <w:rPr>
          <w:rFonts w:ascii="Tahoma" w:hAnsi="Tahoma" w:cs="Tahoma"/>
        </w:rPr>
      </w:pPr>
      <w:r>
        <w:rPr>
          <w:rFonts w:ascii="Tahoma" w:hAnsi="Tahoma" w:cs="Tahoma"/>
        </w:rPr>
        <w:t>Realização de mistura voluntária ao óleo diesel fóssil</w:t>
      </w:r>
    </w:p>
    <w:p w14:paraId="13478FBC" w14:textId="75212FB0" w:rsidR="008969D1" w:rsidRPr="005C71C6" w:rsidRDefault="00322175" w:rsidP="005C71C6">
      <w:pPr>
        <w:pStyle w:val="PargrafodaLista"/>
        <w:numPr>
          <w:ilvl w:val="0"/>
          <w:numId w:val="20"/>
        </w:numPr>
        <w:spacing w:line="360" w:lineRule="auto"/>
        <w:jc w:val="both"/>
        <w:rPr>
          <w:rFonts w:ascii="Tahoma" w:hAnsi="Tahoma" w:cs="Tahoma"/>
        </w:rPr>
      </w:pPr>
      <w:r w:rsidRPr="00F27974">
        <w:rPr>
          <w:rFonts w:ascii="Tahoma" w:hAnsi="Tahoma" w:cs="Tahoma"/>
        </w:rPr>
        <w:t>Uso experimental</w:t>
      </w:r>
    </w:p>
    <w:p w14:paraId="284C9DCD" w14:textId="6321479A" w:rsidR="00DB367A" w:rsidRPr="00DB367A" w:rsidRDefault="006071A5" w:rsidP="00DB367A">
      <w:pPr>
        <w:pStyle w:val="Ttulo1"/>
        <w:keepLines w:val="0"/>
        <w:numPr>
          <w:ilvl w:val="1"/>
          <w:numId w:val="1"/>
        </w:numPr>
        <w:spacing w:before="400" w:after="200"/>
        <w:rPr>
          <w:rFonts w:eastAsia="Times New Roman" w:cs="Arial"/>
          <w:kern w:val="32"/>
          <w:sz w:val="26"/>
          <w:szCs w:val="32"/>
        </w:rPr>
      </w:pPr>
      <w:r>
        <w:rPr>
          <w:rFonts w:eastAsia="Times New Roman" w:cs="Arial"/>
          <w:kern w:val="32"/>
          <w:sz w:val="26"/>
          <w:szCs w:val="32"/>
        </w:rPr>
        <w:t>M</w:t>
      </w:r>
      <w:r w:rsidR="00DB367A">
        <w:rPr>
          <w:rFonts w:eastAsia="Times New Roman" w:cs="Arial"/>
          <w:kern w:val="32"/>
          <w:sz w:val="26"/>
          <w:szCs w:val="32"/>
        </w:rPr>
        <w:t>istura obrigatória</w:t>
      </w:r>
      <w:r>
        <w:rPr>
          <w:rFonts w:eastAsia="Times New Roman" w:cs="Arial"/>
          <w:kern w:val="32"/>
          <w:sz w:val="26"/>
          <w:szCs w:val="32"/>
        </w:rPr>
        <w:t xml:space="preserve"> e comercialização de biodiesel</w:t>
      </w:r>
    </w:p>
    <w:p w14:paraId="7E046CC7" w14:textId="5F7CD2F0" w:rsidR="00780512" w:rsidRDefault="00780512" w:rsidP="005C71C6">
      <w:pPr>
        <w:pStyle w:val="PargrafodaLista"/>
        <w:spacing w:before="240" w:after="240" w:line="360" w:lineRule="auto"/>
        <w:ind w:left="284" w:firstLine="227"/>
        <w:jc w:val="both"/>
        <w:rPr>
          <w:rFonts w:ascii="Tahoma" w:hAnsi="Tahoma" w:cs="Tahoma"/>
        </w:rPr>
      </w:pPr>
      <w:r w:rsidRPr="6435AFD3">
        <w:rPr>
          <w:rFonts w:ascii="Tahoma" w:hAnsi="Tahoma" w:cs="Tahoma"/>
        </w:rPr>
        <w:t>O Programa incentiv</w:t>
      </w:r>
      <w:r w:rsidR="00AC51FB" w:rsidRPr="6435AFD3">
        <w:rPr>
          <w:rFonts w:ascii="Tahoma" w:hAnsi="Tahoma" w:cs="Tahoma"/>
        </w:rPr>
        <w:t>a</w:t>
      </w:r>
      <w:r w:rsidRPr="6435AFD3">
        <w:rPr>
          <w:rFonts w:ascii="Tahoma" w:hAnsi="Tahoma" w:cs="Tahoma"/>
        </w:rPr>
        <w:t xml:space="preserve"> o consumo do biodiesel por meio da definição do teor obrigatório de mistura ao combustível fóssil, com acréscimos graduais periódicos. </w:t>
      </w:r>
      <w:r w:rsidR="005F422C" w:rsidRPr="6435AFD3">
        <w:rPr>
          <w:rFonts w:ascii="Tahoma" w:hAnsi="Tahoma" w:cs="Tahoma"/>
        </w:rPr>
        <w:t>Durante os primeiros anos, o programa</w:t>
      </w:r>
      <w:r w:rsidR="00D518CE" w:rsidRPr="6435AFD3">
        <w:rPr>
          <w:rFonts w:ascii="Tahoma" w:hAnsi="Tahoma" w:cs="Tahoma"/>
        </w:rPr>
        <w:t xml:space="preserve"> e</w:t>
      </w:r>
      <w:r w:rsidRPr="6435AFD3">
        <w:rPr>
          <w:rFonts w:ascii="Tahoma" w:hAnsi="Tahoma" w:cs="Tahoma"/>
        </w:rPr>
        <w:t>stabeleceu a comercialização do biocombustível por</w:t>
      </w:r>
      <w:r w:rsidR="0064346F" w:rsidRPr="6435AFD3">
        <w:rPr>
          <w:rFonts w:ascii="Tahoma" w:hAnsi="Tahoma" w:cs="Tahoma"/>
        </w:rPr>
        <w:t xml:space="preserve"> meio de</w:t>
      </w:r>
      <w:r w:rsidRPr="6435AFD3">
        <w:rPr>
          <w:rFonts w:ascii="Tahoma" w:hAnsi="Tahoma" w:cs="Tahoma"/>
        </w:rPr>
        <w:t xml:space="preserve"> leilões de forma a garantir o incremento de capacidade produtiva do país</w:t>
      </w:r>
      <w:r w:rsidR="53890B62" w:rsidRPr="6435AFD3">
        <w:rPr>
          <w:rFonts w:ascii="Tahoma" w:hAnsi="Tahoma" w:cs="Tahoma"/>
        </w:rPr>
        <w:t xml:space="preserve"> </w:t>
      </w:r>
      <w:r w:rsidR="00400722" w:rsidRPr="00400722">
        <w:rPr>
          <w:rFonts w:ascii="Tahoma" w:hAnsi="Tahoma" w:cs="Tahoma"/>
        </w:rPr>
        <w:t>e para a garantia do abastecimento, ao mesmo tempo em que promovia a concorrência entre os produtores, favorecendo a formação de preços competitivos e</w:t>
      </w:r>
      <w:r w:rsidRPr="6435AFD3">
        <w:rPr>
          <w:rFonts w:ascii="Tahoma" w:hAnsi="Tahoma" w:cs="Tahoma"/>
        </w:rPr>
        <w:t xml:space="preserve"> a redução da dependência do diesel fóssil</w:t>
      </w:r>
      <w:r w:rsidR="00DB367A" w:rsidRPr="6435AFD3">
        <w:rPr>
          <w:rFonts w:ascii="Tahoma" w:hAnsi="Tahoma" w:cs="Tahoma"/>
        </w:rPr>
        <w:t>.</w:t>
      </w:r>
    </w:p>
    <w:p w14:paraId="720F27D8" w14:textId="511EB8F1" w:rsidR="00276184" w:rsidRDefault="00DB367A" w:rsidP="005C71C6">
      <w:pPr>
        <w:pStyle w:val="PargrafodaLista"/>
        <w:spacing w:before="240" w:after="240" w:line="360" w:lineRule="auto"/>
        <w:ind w:left="284" w:firstLine="227"/>
        <w:jc w:val="both"/>
        <w:rPr>
          <w:rFonts w:ascii="Tahoma" w:hAnsi="Tahoma" w:cs="Tahoma"/>
        </w:rPr>
      </w:pPr>
      <w:r w:rsidRPr="582F9F04">
        <w:rPr>
          <w:rFonts w:ascii="Tahoma" w:hAnsi="Tahoma" w:cs="Tahoma"/>
        </w:rPr>
        <w:t xml:space="preserve">Por meio do Decreto 5.448/2005 foi autorizado a mistura de 2% do volume total de biodiesel ao óleo diesel fóssil. </w:t>
      </w:r>
      <w:r w:rsidR="00AA5663" w:rsidRPr="582F9F04">
        <w:rPr>
          <w:rFonts w:ascii="Tahoma" w:hAnsi="Tahoma" w:cs="Tahoma"/>
        </w:rPr>
        <w:t>Inicialmente a mistura possuía caráter voluntário</w:t>
      </w:r>
      <w:r w:rsidR="4784F8C4" w:rsidRPr="582F9F04">
        <w:rPr>
          <w:rFonts w:ascii="Tahoma" w:hAnsi="Tahoma" w:cs="Tahoma"/>
        </w:rPr>
        <w:t>,</w:t>
      </w:r>
      <w:r w:rsidR="00AA5663" w:rsidRPr="582F9F04">
        <w:rPr>
          <w:rFonts w:ascii="Tahoma" w:hAnsi="Tahoma" w:cs="Tahoma"/>
        </w:rPr>
        <w:t xml:space="preserve"> porém com definição de obrigatoriedade a partir de janeiro de 2008. Elevações</w:t>
      </w:r>
      <w:r w:rsidR="009569F1">
        <w:rPr>
          <w:rFonts w:ascii="Tahoma" w:hAnsi="Tahoma" w:cs="Tahoma"/>
        </w:rPr>
        <w:t xml:space="preserve"> no</w:t>
      </w:r>
      <w:r w:rsidR="00AA5663" w:rsidRPr="582F9F04">
        <w:rPr>
          <w:rFonts w:ascii="Tahoma" w:hAnsi="Tahoma" w:cs="Tahoma"/>
        </w:rPr>
        <w:t xml:space="preserve"> percentua</w:t>
      </w:r>
      <w:r w:rsidR="009569F1">
        <w:rPr>
          <w:rFonts w:ascii="Tahoma" w:hAnsi="Tahoma" w:cs="Tahoma"/>
        </w:rPr>
        <w:t xml:space="preserve">l </w:t>
      </w:r>
      <w:r w:rsidR="00AF09FC">
        <w:rPr>
          <w:rFonts w:ascii="Tahoma" w:hAnsi="Tahoma" w:cs="Tahoma"/>
        </w:rPr>
        <w:t>d</w:t>
      </w:r>
      <w:r w:rsidR="001930D0">
        <w:rPr>
          <w:rFonts w:ascii="Tahoma" w:hAnsi="Tahoma" w:cs="Tahoma"/>
        </w:rPr>
        <w:t>e</w:t>
      </w:r>
      <w:r w:rsidR="00AF09FC">
        <w:rPr>
          <w:rFonts w:ascii="Tahoma" w:hAnsi="Tahoma" w:cs="Tahoma"/>
        </w:rPr>
        <w:t xml:space="preserve"> bio</w:t>
      </w:r>
      <w:r w:rsidR="001930D0">
        <w:rPr>
          <w:rFonts w:ascii="Tahoma" w:hAnsi="Tahoma" w:cs="Tahoma"/>
        </w:rPr>
        <w:t>combustível</w:t>
      </w:r>
      <w:r w:rsidR="005E1D3D">
        <w:rPr>
          <w:rFonts w:ascii="Tahoma" w:hAnsi="Tahoma" w:cs="Tahoma"/>
        </w:rPr>
        <w:t xml:space="preserve"> em</w:t>
      </w:r>
      <w:r w:rsidR="009569F1">
        <w:rPr>
          <w:rFonts w:ascii="Tahoma" w:hAnsi="Tahoma" w:cs="Tahoma"/>
        </w:rPr>
        <w:t xml:space="preserve"> mistura</w:t>
      </w:r>
      <w:r w:rsidR="00AA5663" w:rsidRPr="582F9F04">
        <w:rPr>
          <w:rFonts w:ascii="Tahoma" w:hAnsi="Tahoma" w:cs="Tahoma"/>
        </w:rPr>
        <w:t xml:space="preserve"> ocorreram </w:t>
      </w:r>
      <w:r w:rsidR="004F5001" w:rsidRPr="582F9F04">
        <w:rPr>
          <w:rFonts w:ascii="Tahoma" w:hAnsi="Tahoma" w:cs="Tahoma"/>
        </w:rPr>
        <w:t>n</w:t>
      </w:r>
      <w:r w:rsidR="00AA5663" w:rsidRPr="582F9F04">
        <w:rPr>
          <w:rFonts w:ascii="Tahoma" w:hAnsi="Tahoma" w:cs="Tahoma"/>
        </w:rPr>
        <w:t>os anos</w:t>
      </w:r>
      <w:r w:rsidR="004F5001" w:rsidRPr="582F9F04">
        <w:rPr>
          <w:rFonts w:ascii="Tahoma" w:hAnsi="Tahoma" w:cs="Tahoma"/>
        </w:rPr>
        <w:t xml:space="preserve"> seguintes</w:t>
      </w:r>
      <w:r w:rsidR="00CD7589">
        <w:rPr>
          <w:rFonts w:ascii="Tahoma" w:hAnsi="Tahoma" w:cs="Tahoma"/>
        </w:rPr>
        <w:t>.</w:t>
      </w:r>
      <w:r w:rsidR="0097385A">
        <w:rPr>
          <w:rFonts w:ascii="Tahoma" w:hAnsi="Tahoma" w:cs="Tahoma"/>
        </w:rPr>
        <w:t xml:space="preserve"> </w:t>
      </w:r>
    </w:p>
    <w:p w14:paraId="3F67CF58" w14:textId="0A3845EF" w:rsidR="00853B82" w:rsidRDefault="003625FE" w:rsidP="005C71C6">
      <w:pPr>
        <w:pStyle w:val="PargrafodaLista"/>
        <w:spacing w:before="240" w:after="240" w:line="360" w:lineRule="auto"/>
        <w:ind w:left="284" w:firstLine="227"/>
        <w:jc w:val="both"/>
        <w:rPr>
          <w:rFonts w:ascii="Tahoma" w:hAnsi="Tahoma" w:cs="Tahoma"/>
        </w:rPr>
      </w:pPr>
      <w:r w:rsidRPr="6435AFD3">
        <w:rPr>
          <w:rFonts w:ascii="Tahoma" w:hAnsi="Tahoma" w:cs="Tahoma"/>
        </w:rPr>
        <w:t xml:space="preserve">Em breve espaço de tempo o teor </w:t>
      </w:r>
      <w:r w:rsidR="3FBFA643" w:rsidRPr="6435AFD3">
        <w:rPr>
          <w:rFonts w:ascii="Tahoma" w:hAnsi="Tahoma" w:cs="Tahoma"/>
        </w:rPr>
        <w:t xml:space="preserve">mandatório </w:t>
      </w:r>
      <w:r w:rsidRPr="6435AFD3">
        <w:rPr>
          <w:rFonts w:ascii="Tahoma" w:hAnsi="Tahoma" w:cs="Tahoma"/>
        </w:rPr>
        <w:t xml:space="preserve">chegou a 5% </w:t>
      </w:r>
      <w:r w:rsidR="001C23FC">
        <w:rPr>
          <w:rFonts w:ascii="Tahoma" w:hAnsi="Tahoma" w:cs="Tahoma"/>
        </w:rPr>
        <w:t>por meio</w:t>
      </w:r>
      <w:r w:rsidRPr="6435AFD3">
        <w:rPr>
          <w:rFonts w:ascii="Tahoma" w:hAnsi="Tahoma" w:cs="Tahoma"/>
        </w:rPr>
        <w:t xml:space="preserve"> da </w:t>
      </w:r>
      <w:r w:rsidR="00641A1F" w:rsidRPr="6435AFD3">
        <w:rPr>
          <w:rFonts w:ascii="Tahoma" w:hAnsi="Tahoma" w:cs="Tahoma"/>
        </w:rPr>
        <w:t xml:space="preserve">Resolução CNPE nº 6 de setembro de 2009 </w:t>
      </w:r>
      <w:r w:rsidRPr="6435AFD3">
        <w:rPr>
          <w:rFonts w:ascii="Tahoma" w:hAnsi="Tahoma" w:cs="Tahoma"/>
        </w:rPr>
        <w:t>e, posteriormente, foi escalonado até 7% pela</w:t>
      </w:r>
      <w:r w:rsidR="00641A1F" w:rsidRPr="6435AFD3">
        <w:rPr>
          <w:rFonts w:ascii="Tahoma" w:hAnsi="Tahoma" w:cs="Tahoma"/>
        </w:rPr>
        <w:t xml:space="preserve"> Lei 13.033/2014</w:t>
      </w:r>
      <w:r w:rsidRPr="6435AFD3">
        <w:rPr>
          <w:rFonts w:ascii="Tahoma" w:hAnsi="Tahoma" w:cs="Tahoma"/>
        </w:rPr>
        <w:t>.</w:t>
      </w:r>
      <w:r w:rsidR="001C23FC">
        <w:rPr>
          <w:rFonts w:ascii="Tahoma" w:hAnsi="Tahoma" w:cs="Tahoma"/>
        </w:rPr>
        <w:t xml:space="preserve"> </w:t>
      </w:r>
      <w:r w:rsidR="00641A1F" w:rsidRPr="6435AFD3">
        <w:rPr>
          <w:rFonts w:ascii="Tahoma" w:hAnsi="Tahoma" w:cs="Tahoma"/>
        </w:rPr>
        <w:t xml:space="preserve">Dois anos depois, a Lei </w:t>
      </w:r>
      <w:r w:rsidR="0BE4D3D3" w:rsidRPr="6435AFD3">
        <w:rPr>
          <w:rFonts w:ascii="Tahoma" w:hAnsi="Tahoma" w:cs="Tahoma"/>
        </w:rPr>
        <w:t>nº</w:t>
      </w:r>
      <w:r w:rsidR="00641A1F" w:rsidRPr="6435AFD3">
        <w:rPr>
          <w:rFonts w:ascii="Tahoma" w:hAnsi="Tahoma" w:cs="Tahoma"/>
        </w:rPr>
        <w:t xml:space="preserve"> 13.263/2016 alterou o escalonamento anterior até o teor de 10%</w:t>
      </w:r>
      <w:r w:rsidR="002313A3" w:rsidRPr="6435AFD3">
        <w:rPr>
          <w:rFonts w:ascii="Tahoma" w:hAnsi="Tahoma" w:cs="Tahoma"/>
        </w:rPr>
        <w:t xml:space="preserve"> e</w:t>
      </w:r>
      <w:r w:rsidR="00641A1F" w:rsidRPr="6435AFD3">
        <w:rPr>
          <w:rFonts w:ascii="Tahoma" w:hAnsi="Tahoma" w:cs="Tahoma"/>
        </w:rPr>
        <w:t xml:space="preserve"> autorizou o CNPE a elevar o percentual de biodiesel desde que realizados testes em motores para legitimar a mistura. </w:t>
      </w:r>
      <w:r w:rsidR="00040C77" w:rsidRPr="6435AFD3">
        <w:rPr>
          <w:rFonts w:ascii="Tahoma" w:hAnsi="Tahoma" w:cs="Tahoma"/>
        </w:rPr>
        <w:t>No mesmo ano,</w:t>
      </w:r>
      <w:r w:rsidR="00AB7650" w:rsidRPr="6435AFD3">
        <w:rPr>
          <w:rFonts w:ascii="Tahoma" w:hAnsi="Tahoma" w:cs="Tahoma"/>
        </w:rPr>
        <w:t xml:space="preserve"> a Resolução CNPE n° 11 regulamentou a Lei </w:t>
      </w:r>
      <w:r w:rsidR="000B5C57">
        <w:rPr>
          <w:rFonts w:ascii="Tahoma" w:hAnsi="Tahoma" w:cs="Tahoma"/>
        </w:rPr>
        <w:t xml:space="preserve">nº </w:t>
      </w:r>
      <w:r w:rsidR="00AB7650" w:rsidRPr="6435AFD3">
        <w:rPr>
          <w:rFonts w:ascii="Tahoma" w:hAnsi="Tahoma" w:cs="Tahoma"/>
        </w:rPr>
        <w:t>13.263/2016 fixando a data de 1 de março de cada ano para que ocorresse o incremento de 1% do teor até o limite de 15%. Em complementariedade, em 17 de junho</w:t>
      </w:r>
      <w:r w:rsidR="00A574AF" w:rsidRPr="6435AFD3">
        <w:rPr>
          <w:rFonts w:ascii="Tahoma" w:hAnsi="Tahoma" w:cs="Tahoma"/>
        </w:rPr>
        <w:t xml:space="preserve"> de 2016</w:t>
      </w:r>
      <w:r w:rsidR="00AB7650" w:rsidRPr="6435AFD3">
        <w:rPr>
          <w:rFonts w:ascii="Tahoma" w:hAnsi="Tahoma" w:cs="Tahoma"/>
        </w:rPr>
        <w:t xml:space="preserve"> </w:t>
      </w:r>
      <w:r w:rsidR="008A524A" w:rsidRPr="6435AFD3">
        <w:rPr>
          <w:rFonts w:ascii="Tahoma" w:hAnsi="Tahoma" w:cs="Tahoma"/>
        </w:rPr>
        <w:t>a Portaria MME 262</w:t>
      </w:r>
      <w:r w:rsidR="00A574AF" w:rsidRPr="6435AFD3">
        <w:rPr>
          <w:rFonts w:ascii="Tahoma" w:hAnsi="Tahoma" w:cs="Tahoma"/>
        </w:rPr>
        <w:t xml:space="preserve"> </w:t>
      </w:r>
      <w:r w:rsidR="008A524A" w:rsidRPr="6435AFD3">
        <w:rPr>
          <w:rFonts w:ascii="Tahoma" w:hAnsi="Tahoma" w:cs="Tahoma"/>
        </w:rPr>
        <w:t>instituiu o grupo de trabalho encarregado da formulação</w:t>
      </w:r>
      <w:r w:rsidRPr="6435AFD3">
        <w:rPr>
          <w:rFonts w:ascii="Tahoma" w:hAnsi="Tahoma" w:cs="Tahoma"/>
        </w:rPr>
        <w:t>,</w:t>
      </w:r>
      <w:r w:rsidR="008A524A" w:rsidRPr="6435AFD3">
        <w:rPr>
          <w:rFonts w:ascii="Tahoma" w:hAnsi="Tahoma" w:cs="Tahoma"/>
        </w:rPr>
        <w:t xml:space="preserve"> implantação e acompanhamento dos testes e ensaios em motores e veículos para validar aumentos </w:t>
      </w:r>
      <w:r w:rsidR="006071A5" w:rsidRPr="6435AFD3">
        <w:rPr>
          <w:rFonts w:ascii="Tahoma" w:hAnsi="Tahoma" w:cs="Tahoma"/>
        </w:rPr>
        <w:t>no teor</w:t>
      </w:r>
      <w:r w:rsidR="008A524A" w:rsidRPr="6435AFD3">
        <w:rPr>
          <w:rFonts w:ascii="Tahoma" w:hAnsi="Tahoma" w:cs="Tahoma"/>
        </w:rPr>
        <w:t xml:space="preserve"> de biodiesel superiores a 7% do volume.</w:t>
      </w:r>
    </w:p>
    <w:p w14:paraId="7891C47B" w14:textId="2BDF9CCB" w:rsidR="004E30E2" w:rsidRDefault="00CF5FE1" w:rsidP="005C71C6">
      <w:pPr>
        <w:pStyle w:val="PargrafodaLista"/>
        <w:spacing w:before="240" w:after="240" w:line="360" w:lineRule="auto"/>
        <w:ind w:left="284" w:firstLine="227"/>
        <w:jc w:val="both"/>
        <w:rPr>
          <w:rFonts w:ascii="Tahoma" w:hAnsi="Tahoma" w:cs="Tahoma"/>
        </w:rPr>
      </w:pPr>
      <w:r w:rsidRPr="582F9F04">
        <w:rPr>
          <w:rFonts w:ascii="Tahoma" w:hAnsi="Tahoma" w:cs="Tahoma"/>
        </w:rPr>
        <w:lastRenderedPageBreak/>
        <w:t xml:space="preserve">Posteriormente </w:t>
      </w:r>
      <w:r w:rsidR="006071A5" w:rsidRPr="582F9F04">
        <w:rPr>
          <w:rFonts w:ascii="Tahoma" w:hAnsi="Tahoma" w:cs="Tahoma"/>
        </w:rPr>
        <w:t xml:space="preserve">novas resoluções do CNPE modificaram o teor de biodiesel em mistura, sendo a mais recente a Resolução CNPE nº </w:t>
      </w:r>
      <w:r w:rsidR="00245684">
        <w:rPr>
          <w:rFonts w:ascii="Tahoma" w:hAnsi="Tahoma" w:cs="Tahoma"/>
        </w:rPr>
        <w:t>8</w:t>
      </w:r>
      <w:r w:rsidR="003625FE">
        <w:rPr>
          <w:rFonts w:ascii="Tahoma" w:hAnsi="Tahoma" w:cs="Tahoma"/>
        </w:rPr>
        <w:t xml:space="preserve"> de 2025</w:t>
      </w:r>
      <w:r w:rsidR="1FEB6F60" w:rsidRPr="582F9F04">
        <w:rPr>
          <w:rFonts w:ascii="Tahoma" w:hAnsi="Tahoma" w:cs="Tahoma"/>
        </w:rPr>
        <w:t xml:space="preserve"> que</w:t>
      </w:r>
      <w:r w:rsidR="006071A5" w:rsidRPr="582F9F04">
        <w:rPr>
          <w:rFonts w:ascii="Tahoma" w:hAnsi="Tahoma" w:cs="Tahoma"/>
        </w:rPr>
        <w:t xml:space="preserve"> estabeleceu o percentual de 15% a partir de 1º de agosto </w:t>
      </w:r>
      <w:r w:rsidR="003625FE">
        <w:rPr>
          <w:rFonts w:ascii="Tahoma" w:hAnsi="Tahoma" w:cs="Tahoma"/>
        </w:rPr>
        <w:t>do mesmo ano</w:t>
      </w:r>
      <w:r w:rsidR="004E30E2" w:rsidRPr="582F9F04">
        <w:rPr>
          <w:rFonts w:ascii="Tahoma" w:hAnsi="Tahoma" w:cs="Tahoma"/>
        </w:rPr>
        <w:t>.</w:t>
      </w:r>
    </w:p>
    <w:p w14:paraId="3E080D11" w14:textId="168BA59E" w:rsidR="00E115C1" w:rsidRPr="00E115C1" w:rsidRDefault="004E30E2" w:rsidP="005C71C6">
      <w:pPr>
        <w:pStyle w:val="PargrafodaLista"/>
        <w:spacing w:before="240" w:after="240" w:line="360" w:lineRule="auto"/>
        <w:ind w:left="284" w:firstLine="227"/>
        <w:jc w:val="both"/>
        <w:rPr>
          <w:rFonts w:ascii="Tahoma" w:hAnsi="Tahoma" w:cs="Tahoma"/>
        </w:rPr>
      </w:pPr>
      <w:r w:rsidRPr="47B91758">
        <w:rPr>
          <w:rFonts w:ascii="Tahoma" w:hAnsi="Tahoma" w:cs="Tahoma"/>
        </w:rPr>
        <w:t>A comercialização de biodiesel ocorreu por meio de leilões públicos organizados pela ANP determinados pela Resolução CNPE nº 05 de 2007</w:t>
      </w:r>
      <w:r w:rsidR="0ABD9264" w:rsidRPr="47B91758">
        <w:rPr>
          <w:rFonts w:ascii="Tahoma" w:hAnsi="Tahoma" w:cs="Tahoma"/>
        </w:rPr>
        <w:t xml:space="preserve">, até </w:t>
      </w:r>
      <w:r w:rsidR="1425670B" w:rsidRPr="47B91758">
        <w:rPr>
          <w:rFonts w:ascii="Tahoma" w:hAnsi="Tahoma" w:cs="Tahoma"/>
        </w:rPr>
        <w:t>dezembro</w:t>
      </w:r>
      <w:r w:rsidR="0ABD9264" w:rsidRPr="47B91758">
        <w:rPr>
          <w:rFonts w:ascii="Tahoma" w:hAnsi="Tahoma" w:cs="Tahoma"/>
        </w:rPr>
        <w:t xml:space="preserve"> de 202</w:t>
      </w:r>
      <w:r w:rsidR="48EDC467" w:rsidRPr="47B91758">
        <w:rPr>
          <w:rFonts w:ascii="Tahoma" w:hAnsi="Tahoma" w:cs="Tahoma"/>
        </w:rPr>
        <w:t>1</w:t>
      </w:r>
      <w:r w:rsidRPr="47B91758">
        <w:rPr>
          <w:rFonts w:ascii="Tahoma" w:hAnsi="Tahoma" w:cs="Tahoma"/>
        </w:rPr>
        <w:t>. Inicialmente a escolha de leilões públicos como modelo de negociação se deve</w:t>
      </w:r>
      <w:r w:rsidR="07FE36BA" w:rsidRPr="47B91758">
        <w:rPr>
          <w:rFonts w:ascii="Tahoma" w:hAnsi="Tahoma" w:cs="Tahoma"/>
        </w:rPr>
        <w:t>u</w:t>
      </w:r>
      <w:r w:rsidRPr="47B91758">
        <w:rPr>
          <w:rFonts w:ascii="Tahoma" w:hAnsi="Tahoma" w:cs="Tahoma"/>
        </w:rPr>
        <w:t xml:space="preserve"> a necessidade de desenvolvimento de capacidade produtiva </w:t>
      </w:r>
      <w:r w:rsidR="00E115C1" w:rsidRPr="47B91758">
        <w:rPr>
          <w:rFonts w:ascii="Tahoma" w:hAnsi="Tahoma" w:cs="Tahoma"/>
        </w:rPr>
        <w:t>de biodiesel</w:t>
      </w:r>
      <w:r w:rsidR="006D2DB1">
        <w:rPr>
          <w:rFonts w:ascii="Tahoma" w:hAnsi="Tahoma" w:cs="Tahoma"/>
        </w:rPr>
        <w:t xml:space="preserve"> e busca pelo menor ágio</w:t>
      </w:r>
      <w:r w:rsidR="00E115C1" w:rsidRPr="47B91758">
        <w:rPr>
          <w:rFonts w:ascii="Tahoma" w:hAnsi="Tahoma" w:cs="Tahoma"/>
        </w:rPr>
        <w:t>.</w:t>
      </w:r>
      <w:r w:rsidRPr="47B91758">
        <w:rPr>
          <w:rFonts w:ascii="Tahoma" w:hAnsi="Tahoma" w:cs="Tahoma"/>
        </w:rPr>
        <w:t xml:space="preserve"> A partir de janeiro de 2022 a sistemática de comercialização foi alterada segundo a Resolução CNPE nº 14 de 2020</w:t>
      </w:r>
      <w:r w:rsidR="00E115C1" w:rsidRPr="47B91758">
        <w:rPr>
          <w:rFonts w:ascii="Tahoma" w:hAnsi="Tahoma" w:cs="Tahoma"/>
        </w:rPr>
        <w:t xml:space="preserve"> e regulamentada pela resolução ANP n° 857 de outubro de 2021 que dispôs de regras para comercialização direta entre produtores e distribuidores. </w:t>
      </w:r>
    </w:p>
    <w:p w14:paraId="202F91BF" w14:textId="738DFED3" w:rsidR="00DB367A" w:rsidRPr="00DB367A" w:rsidRDefault="00CF5FE1" w:rsidP="00DB367A">
      <w:pPr>
        <w:pStyle w:val="Ttulo1"/>
        <w:keepLines w:val="0"/>
        <w:numPr>
          <w:ilvl w:val="1"/>
          <w:numId w:val="1"/>
        </w:numPr>
        <w:spacing w:before="400" w:after="200"/>
        <w:rPr>
          <w:rFonts w:eastAsia="Times New Roman" w:cs="Arial"/>
          <w:kern w:val="32"/>
          <w:sz w:val="26"/>
          <w:szCs w:val="32"/>
        </w:rPr>
      </w:pPr>
      <w:r>
        <w:rPr>
          <w:rFonts w:eastAsia="Times New Roman" w:cs="Arial"/>
          <w:kern w:val="32"/>
          <w:sz w:val="26"/>
          <w:szCs w:val="32"/>
        </w:rPr>
        <w:t xml:space="preserve">Selo Biocombustível Social </w:t>
      </w:r>
      <w:r w:rsidR="008D5249">
        <w:rPr>
          <w:rFonts w:eastAsia="Times New Roman" w:cs="Arial"/>
          <w:kern w:val="32"/>
          <w:sz w:val="26"/>
          <w:szCs w:val="32"/>
        </w:rPr>
        <w:t>e agricultura familiar</w:t>
      </w:r>
    </w:p>
    <w:p w14:paraId="019B667F" w14:textId="3C8EEFB6" w:rsidR="00A00A3E" w:rsidRDefault="00A00A3E" w:rsidP="005C71C6">
      <w:pPr>
        <w:pStyle w:val="PargrafodaLista"/>
        <w:spacing w:before="240" w:after="240" w:line="360" w:lineRule="auto"/>
        <w:ind w:left="284" w:firstLine="227"/>
        <w:jc w:val="both"/>
        <w:rPr>
          <w:rFonts w:ascii="Tahoma" w:hAnsi="Tahoma" w:cs="Tahoma"/>
        </w:rPr>
      </w:pPr>
      <w:r w:rsidRPr="00780512">
        <w:rPr>
          <w:rFonts w:ascii="Tahoma" w:hAnsi="Tahoma" w:cs="Tahoma"/>
        </w:rPr>
        <w:t xml:space="preserve">Como parte do pilar social do programa, </w:t>
      </w:r>
      <w:r w:rsidR="0065073D">
        <w:rPr>
          <w:rFonts w:ascii="Tahoma" w:hAnsi="Tahoma" w:cs="Tahoma"/>
        </w:rPr>
        <w:t>criou</w:t>
      </w:r>
      <w:r w:rsidRPr="00780512">
        <w:rPr>
          <w:rFonts w:ascii="Tahoma" w:hAnsi="Tahoma" w:cs="Tahoma"/>
        </w:rPr>
        <w:t xml:space="preserve">-se o Selo </w:t>
      </w:r>
      <w:r>
        <w:rPr>
          <w:rFonts w:ascii="Tahoma" w:hAnsi="Tahoma" w:cs="Tahoma"/>
        </w:rPr>
        <w:t>C</w:t>
      </w:r>
      <w:r w:rsidRPr="00780512">
        <w:rPr>
          <w:rFonts w:ascii="Tahoma" w:hAnsi="Tahoma" w:cs="Tahoma"/>
        </w:rPr>
        <w:t>o</w:t>
      </w:r>
      <w:r w:rsidR="008228EA">
        <w:rPr>
          <w:rFonts w:ascii="Tahoma" w:hAnsi="Tahoma" w:cs="Tahoma"/>
        </w:rPr>
        <w:t>m</w:t>
      </w:r>
      <w:r w:rsidRPr="00780512">
        <w:rPr>
          <w:rFonts w:ascii="Tahoma" w:hAnsi="Tahoma" w:cs="Tahoma"/>
        </w:rPr>
        <w:t>bustível Social</w:t>
      </w:r>
      <w:r w:rsidR="00CF718E">
        <w:rPr>
          <w:rFonts w:ascii="Tahoma" w:hAnsi="Tahoma" w:cs="Tahoma"/>
        </w:rPr>
        <w:t xml:space="preserve"> (SCS)</w:t>
      </w:r>
      <w:r w:rsidRPr="00780512">
        <w:rPr>
          <w:rFonts w:ascii="Tahoma" w:hAnsi="Tahoma" w:cs="Tahoma"/>
        </w:rPr>
        <w:t xml:space="preserve"> com objetivos de impulsionar o fortalecimento e desenvolvimento sustentável da agricultura familiar e das suas organizações, inserindo-as na cadeia produtiva de biodiesel</w:t>
      </w:r>
      <w:r>
        <w:rPr>
          <w:rFonts w:ascii="Tahoma" w:hAnsi="Tahoma" w:cs="Tahoma"/>
        </w:rPr>
        <w:t xml:space="preserve">. </w:t>
      </w:r>
      <w:r w:rsidR="00025A42">
        <w:rPr>
          <w:rFonts w:ascii="Tahoma" w:hAnsi="Tahoma" w:cs="Tahoma"/>
        </w:rPr>
        <w:t>O selo foi instituído segundo o decreto</w:t>
      </w:r>
      <w:r w:rsidRPr="47B91758">
        <w:rPr>
          <w:rFonts w:ascii="Tahoma" w:hAnsi="Tahoma" w:cs="Tahoma"/>
        </w:rPr>
        <w:t xml:space="preserve"> n° 5.297 de 2004 que </w:t>
      </w:r>
      <w:r w:rsidR="00185066">
        <w:rPr>
          <w:rFonts w:ascii="Tahoma" w:hAnsi="Tahoma" w:cs="Tahoma"/>
        </w:rPr>
        <w:t>determinou</w:t>
      </w:r>
      <w:r w:rsidRPr="47B91758">
        <w:rPr>
          <w:rFonts w:ascii="Tahoma" w:hAnsi="Tahoma" w:cs="Tahoma"/>
        </w:rPr>
        <w:t xml:space="preserve"> a concessão do selo ao produtor de biodiesel que promove a inclusão social de agricultores familiares. Esta promoção ser</w:t>
      </w:r>
      <w:r w:rsidR="00185066">
        <w:rPr>
          <w:rFonts w:ascii="Tahoma" w:hAnsi="Tahoma" w:cs="Tahoma"/>
        </w:rPr>
        <w:t>ia</w:t>
      </w:r>
      <w:r w:rsidRPr="47B91758">
        <w:rPr>
          <w:rFonts w:ascii="Tahoma" w:hAnsi="Tahoma" w:cs="Tahoma"/>
        </w:rPr>
        <w:t xml:space="preserve"> realizada por meio da aquisição de matérias primas de origem da agricultura familiar em parcela</w:t>
      </w:r>
      <w:r w:rsidR="000F4A59">
        <w:rPr>
          <w:rFonts w:ascii="Tahoma" w:hAnsi="Tahoma" w:cs="Tahoma"/>
        </w:rPr>
        <w:t>s definidas</w:t>
      </w:r>
      <w:r w:rsidRPr="47B91758">
        <w:rPr>
          <w:rFonts w:ascii="Tahoma" w:hAnsi="Tahoma" w:cs="Tahoma"/>
        </w:rPr>
        <w:t xml:space="preserve"> pelo Ministério do Desenvolvimento Agrário (MDA), celebração de contratos com estes agricultores </w:t>
      </w:r>
      <w:r w:rsidR="00A36C83">
        <w:rPr>
          <w:rFonts w:ascii="Tahoma" w:hAnsi="Tahoma" w:cs="Tahoma"/>
        </w:rPr>
        <w:t xml:space="preserve">seguindo </w:t>
      </w:r>
      <w:r w:rsidRPr="47B91758">
        <w:rPr>
          <w:rFonts w:ascii="Tahoma" w:hAnsi="Tahoma" w:cs="Tahoma"/>
        </w:rPr>
        <w:t>especificações do Ministério e</w:t>
      </w:r>
      <w:r w:rsidR="004451E5">
        <w:rPr>
          <w:rFonts w:ascii="Tahoma" w:hAnsi="Tahoma" w:cs="Tahoma"/>
        </w:rPr>
        <w:t xml:space="preserve"> fornecimento de</w:t>
      </w:r>
      <w:r w:rsidRPr="47B91758">
        <w:rPr>
          <w:rFonts w:ascii="Tahoma" w:hAnsi="Tahoma" w:cs="Tahoma"/>
        </w:rPr>
        <w:t xml:space="preserve"> capacitação técnica </w:t>
      </w:r>
      <w:r w:rsidR="004451E5">
        <w:rPr>
          <w:rFonts w:ascii="Tahoma" w:hAnsi="Tahoma" w:cs="Tahoma"/>
        </w:rPr>
        <w:t>aos</w:t>
      </w:r>
      <w:r w:rsidRPr="47B91758">
        <w:rPr>
          <w:rFonts w:ascii="Tahoma" w:hAnsi="Tahoma" w:cs="Tahoma"/>
        </w:rPr>
        <w:t xml:space="preserve"> agricultores. </w:t>
      </w:r>
    </w:p>
    <w:p w14:paraId="57D49775" w14:textId="528EFC65" w:rsidR="002303D8" w:rsidRDefault="00A00A3E" w:rsidP="005C71C6">
      <w:pPr>
        <w:pStyle w:val="PargrafodaLista"/>
        <w:spacing w:before="240" w:after="240" w:line="360" w:lineRule="auto"/>
        <w:ind w:left="284" w:firstLine="227"/>
        <w:jc w:val="both"/>
        <w:rPr>
          <w:rFonts w:ascii="Tahoma" w:hAnsi="Tahoma" w:cs="Tahoma"/>
        </w:rPr>
      </w:pPr>
      <w:r w:rsidRPr="47B91758">
        <w:rPr>
          <w:rFonts w:ascii="Tahoma" w:hAnsi="Tahoma" w:cs="Tahoma"/>
        </w:rPr>
        <w:t xml:space="preserve">Em contrapartida o produtor de biodiesel que </w:t>
      </w:r>
      <w:r w:rsidR="005B69F4">
        <w:rPr>
          <w:rFonts w:ascii="Tahoma" w:hAnsi="Tahoma" w:cs="Tahoma"/>
        </w:rPr>
        <w:t>detém</w:t>
      </w:r>
      <w:r w:rsidRPr="47B91758">
        <w:rPr>
          <w:rFonts w:ascii="Tahoma" w:hAnsi="Tahoma" w:cs="Tahoma"/>
        </w:rPr>
        <w:t xml:space="preserve"> o selo </w:t>
      </w:r>
      <w:r w:rsidR="00994017">
        <w:rPr>
          <w:rFonts w:ascii="Tahoma" w:hAnsi="Tahoma" w:cs="Tahoma"/>
        </w:rPr>
        <w:t>obtém</w:t>
      </w:r>
      <w:r w:rsidRPr="47B91758">
        <w:rPr>
          <w:rFonts w:ascii="Tahoma" w:hAnsi="Tahoma" w:cs="Tahoma"/>
        </w:rPr>
        <w:t xml:space="preserve"> benefícios de políticas públicas voltadas a </w:t>
      </w:r>
      <w:r w:rsidR="00677359" w:rsidRPr="47B91758">
        <w:rPr>
          <w:rFonts w:ascii="Tahoma" w:hAnsi="Tahoma" w:cs="Tahoma"/>
        </w:rPr>
        <w:t>promoção de</w:t>
      </w:r>
      <w:r w:rsidRPr="47B91758">
        <w:rPr>
          <w:rFonts w:ascii="Tahoma" w:hAnsi="Tahoma" w:cs="Tahoma"/>
        </w:rPr>
        <w:t xml:space="preserve"> combustíveis renováveis e desenvolvimento regional</w:t>
      </w:r>
      <w:r w:rsidR="00A47B45">
        <w:rPr>
          <w:rFonts w:ascii="Tahoma" w:hAnsi="Tahoma" w:cs="Tahoma"/>
        </w:rPr>
        <w:t>.</w:t>
      </w:r>
      <w:r w:rsidRPr="47B91758">
        <w:rPr>
          <w:rFonts w:ascii="Tahoma" w:hAnsi="Tahoma" w:cs="Tahoma"/>
        </w:rPr>
        <w:t xml:space="preserve"> </w:t>
      </w:r>
      <w:r w:rsidR="00A47B45">
        <w:rPr>
          <w:rFonts w:ascii="Tahoma" w:hAnsi="Tahoma" w:cs="Tahoma"/>
        </w:rPr>
        <w:t>A</w:t>
      </w:r>
      <w:r w:rsidR="005D08F2">
        <w:rPr>
          <w:rFonts w:ascii="Tahoma" w:hAnsi="Tahoma" w:cs="Tahoma"/>
        </w:rPr>
        <w:t>lém disso</w:t>
      </w:r>
      <w:r w:rsidR="00A47B45">
        <w:rPr>
          <w:rFonts w:ascii="Tahoma" w:hAnsi="Tahoma" w:cs="Tahoma"/>
        </w:rPr>
        <w:t>,</w:t>
      </w:r>
      <w:r w:rsidR="005D08F2">
        <w:rPr>
          <w:rFonts w:ascii="Tahoma" w:hAnsi="Tahoma" w:cs="Tahoma"/>
        </w:rPr>
        <w:t xml:space="preserve"> pode</w:t>
      </w:r>
      <w:r w:rsidRPr="47B91758">
        <w:rPr>
          <w:rFonts w:ascii="Tahoma" w:hAnsi="Tahoma" w:cs="Tahoma"/>
        </w:rPr>
        <w:t xml:space="preserve"> utilizar o selo para fins de promoção comercial de sua produção.</w:t>
      </w:r>
      <w:r w:rsidR="00683410">
        <w:rPr>
          <w:rFonts w:ascii="Tahoma" w:hAnsi="Tahoma" w:cs="Tahoma"/>
        </w:rPr>
        <w:t xml:space="preserve"> Entre os benefícios </w:t>
      </w:r>
      <w:r w:rsidR="005B69F4">
        <w:rPr>
          <w:rFonts w:ascii="Tahoma" w:hAnsi="Tahoma" w:cs="Tahoma"/>
        </w:rPr>
        <w:t>ao produtor</w:t>
      </w:r>
      <w:r w:rsidR="007F460E">
        <w:rPr>
          <w:rFonts w:ascii="Tahoma" w:hAnsi="Tahoma" w:cs="Tahoma"/>
        </w:rPr>
        <w:t>, vale destacar</w:t>
      </w:r>
      <w:r w:rsidR="00C16891">
        <w:rPr>
          <w:rFonts w:ascii="Tahoma" w:hAnsi="Tahoma" w:cs="Tahoma"/>
        </w:rPr>
        <w:t xml:space="preserve"> que aqueles que detinham o SCS</w:t>
      </w:r>
      <w:r w:rsidR="00750BAA">
        <w:rPr>
          <w:rFonts w:ascii="Tahoma" w:hAnsi="Tahoma" w:cs="Tahoma"/>
        </w:rPr>
        <w:t>,</w:t>
      </w:r>
      <w:r w:rsidR="00C16891">
        <w:rPr>
          <w:rFonts w:ascii="Tahoma" w:hAnsi="Tahoma" w:cs="Tahoma"/>
        </w:rPr>
        <w:t xml:space="preserve"> </w:t>
      </w:r>
      <w:r w:rsidR="004E2272">
        <w:rPr>
          <w:rFonts w:ascii="Tahoma" w:hAnsi="Tahoma" w:cs="Tahoma"/>
        </w:rPr>
        <w:t>possuíam</w:t>
      </w:r>
      <w:r w:rsidR="00EC4644">
        <w:rPr>
          <w:rFonts w:ascii="Tahoma" w:hAnsi="Tahoma" w:cs="Tahoma"/>
        </w:rPr>
        <w:t xml:space="preserve"> prioridade de comercialização </w:t>
      </w:r>
      <w:r w:rsidR="005F1B90">
        <w:rPr>
          <w:rFonts w:ascii="Tahoma" w:hAnsi="Tahoma" w:cs="Tahoma"/>
        </w:rPr>
        <w:t xml:space="preserve">em 80% do volume total dos leilões </w:t>
      </w:r>
      <w:r w:rsidR="001571A1">
        <w:rPr>
          <w:rFonts w:ascii="Tahoma" w:hAnsi="Tahoma" w:cs="Tahoma"/>
        </w:rPr>
        <w:t>realizados pela ANP.</w:t>
      </w:r>
      <w:r w:rsidR="007F460E">
        <w:rPr>
          <w:rFonts w:ascii="Tahoma" w:hAnsi="Tahoma" w:cs="Tahoma"/>
        </w:rPr>
        <w:t xml:space="preserve"> </w:t>
      </w:r>
      <w:r w:rsidRPr="47B91758">
        <w:rPr>
          <w:rFonts w:ascii="Tahoma" w:hAnsi="Tahoma" w:cs="Tahoma"/>
        </w:rPr>
        <w:t xml:space="preserve"> </w:t>
      </w:r>
    </w:p>
    <w:p w14:paraId="41B7B7DB" w14:textId="2E3CF031" w:rsidR="00A00A3E" w:rsidRDefault="00A00A3E" w:rsidP="005C71C6">
      <w:pPr>
        <w:pStyle w:val="PargrafodaLista"/>
        <w:spacing w:before="240" w:after="240" w:line="360" w:lineRule="auto"/>
        <w:ind w:left="284" w:firstLine="227"/>
        <w:jc w:val="both"/>
        <w:rPr>
          <w:rFonts w:ascii="Tahoma" w:hAnsi="Tahoma" w:cs="Tahoma"/>
        </w:rPr>
      </w:pPr>
      <w:r w:rsidRPr="47B91758">
        <w:rPr>
          <w:rFonts w:ascii="Tahoma" w:hAnsi="Tahoma" w:cs="Tahoma"/>
        </w:rPr>
        <w:t>Em 2005 o Ministério do Desenvolvimento Agrário publicou a Instrução Normativa nº 1 que estabeleceu os critérios para obtenção do selo. Posteriormente esta</w:t>
      </w:r>
      <w:r w:rsidR="00763475">
        <w:rPr>
          <w:rFonts w:ascii="Tahoma" w:hAnsi="Tahoma" w:cs="Tahoma"/>
        </w:rPr>
        <w:t xml:space="preserve"> instrução</w:t>
      </w:r>
      <w:r w:rsidRPr="47B91758">
        <w:rPr>
          <w:rFonts w:ascii="Tahoma" w:hAnsi="Tahoma" w:cs="Tahoma"/>
        </w:rPr>
        <w:t xml:space="preserve"> foi alterada pela Instrução Normativa MDA n° 1 de 2009 que introduziu novos critérios para cálculo de custo de aquisição de matéria-prima, nova estrutura para prestação de assistência técnica aos agricultores familiares, estabeleceu procedimentos de dotação de informações comprobatórias ao MDA para manutenção do selo por parte dos produtores entre outros instrumentos que tornaram mais robusto o acompanhamento e garantia de efetividade da política pública.</w:t>
      </w:r>
    </w:p>
    <w:p w14:paraId="073238A6" w14:textId="7C45DBEE" w:rsidR="00581C7C" w:rsidRPr="008A0AAB" w:rsidRDefault="00A00A3E" w:rsidP="005C71C6">
      <w:pPr>
        <w:pStyle w:val="PargrafodaLista"/>
        <w:spacing w:before="240" w:after="240" w:line="360" w:lineRule="auto"/>
        <w:ind w:left="284" w:firstLine="227"/>
        <w:jc w:val="both"/>
        <w:rPr>
          <w:rFonts w:ascii="Tahoma" w:hAnsi="Tahoma" w:cs="Tahoma"/>
        </w:rPr>
      </w:pPr>
      <w:r w:rsidRPr="5C0B10CB">
        <w:rPr>
          <w:rFonts w:ascii="Tahoma" w:hAnsi="Tahoma" w:cs="Tahoma"/>
        </w:rPr>
        <w:lastRenderedPageBreak/>
        <w:t xml:space="preserve">Em 2020 o </w:t>
      </w:r>
      <w:r w:rsidR="00722E97" w:rsidRPr="5C0B10CB">
        <w:rPr>
          <w:rFonts w:ascii="Tahoma" w:hAnsi="Tahoma" w:cs="Tahoma"/>
        </w:rPr>
        <w:t>SCS foi</w:t>
      </w:r>
      <w:r w:rsidRPr="5C0B10CB">
        <w:rPr>
          <w:rFonts w:ascii="Tahoma" w:hAnsi="Tahoma" w:cs="Tahoma"/>
        </w:rPr>
        <w:t xml:space="preserve"> convertido a Selo Biocombustível Social (SBS), pelo Decreto nº 10.527/2020 com alterações que aprofundaram os objetivos e escopo do selo e foram reforçadas com o Decreto nº 11.902/20</w:t>
      </w:r>
      <w:r w:rsidR="00034F36">
        <w:rPr>
          <w:rFonts w:ascii="Tahoma" w:hAnsi="Tahoma" w:cs="Tahoma"/>
        </w:rPr>
        <w:t>2</w:t>
      </w:r>
      <w:r w:rsidRPr="5C0B10CB">
        <w:rPr>
          <w:rFonts w:ascii="Tahoma" w:hAnsi="Tahoma" w:cs="Tahoma"/>
        </w:rPr>
        <w:t xml:space="preserve">4. </w:t>
      </w:r>
      <w:r w:rsidR="00731251">
        <w:rPr>
          <w:rFonts w:ascii="Tahoma" w:hAnsi="Tahoma" w:cs="Tahoma"/>
        </w:rPr>
        <w:t xml:space="preserve">Os decretos </w:t>
      </w:r>
      <w:r w:rsidR="00357916">
        <w:rPr>
          <w:rFonts w:ascii="Tahoma" w:hAnsi="Tahoma" w:cs="Tahoma"/>
        </w:rPr>
        <w:t>inclu</w:t>
      </w:r>
      <w:r w:rsidR="00326451">
        <w:rPr>
          <w:rFonts w:ascii="Tahoma" w:hAnsi="Tahoma" w:cs="Tahoma"/>
        </w:rPr>
        <w:t>í</w:t>
      </w:r>
      <w:r w:rsidR="00C919A2">
        <w:rPr>
          <w:rFonts w:ascii="Tahoma" w:hAnsi="Tahoma" w:cs="Tahoma"/>
        </w:rPr>
        <w:t>ram</w:t>
      </w:r>
      <w:r w:rsidR="00937EFC">
        <w:rPr>
          <w:rFonts w:ascii="Tahoma" w:hAnsi="Tahoma" w:cs="Tahoma"/>
        </w:rPr>
        <w:t xml:space="preserve"> </w:t>
      </w:r>
      <w:r w:rsidR="00357916">
        <w:rPr>
          <w:rFonts w:ascii="Tahoma" w:hAnsi="Tahoma" w:cs="Tahoma"/>
        </w:rPr>
        <w:t xml:space="preserve">novos objetivos como </w:t>
      </w:r>
      <w:r w:rsidR="00351C42">
        <w:rPr>
          <w:rFonts w:ascii="Tahoma" w:hAnsi="Tahoma" w:cs="Tahoma"/>
        </w:rPr>
        <w:t>segurança energética, segurança alimentar, mitigação de transformações climáticas</w:t>
      </w:r>
      <w:r w:rsidR="00382D02">
        <w:rPr>
          <w:rFonts w:ascii="Tahoma" w:hAnsi="Tahoma" w:cs="Tahoma"/>
        </w:rPr>
        <w:t xml:space="preserve">, incentivo </w:t>
      </w:r>
      <w:r w:rsidR="0078124E">
        <w:rPr>
          <w:rFonts w:ascii="Tahoma" w:hAnsi="Tahoma" w:cs="Tahoma"/>
        </w:rPr>
        <w:t>à diversificação produtiva</w:t>
      </w:r>
      <w:r w:rsidR="00901422">
        <w:rPr>
          <w:rFonts w:ascii="Tahoma" w:hAnsi="Tahoma" w:cs="Tahoma"/>
        </w:rPr>
        <w:t>,</w:t>
      </w:r>
      <w:r w:rsidR="0078124E">
        <w:rPr>
          <w:rFonts w:ascii="Tahoma" w:hAnsi="Tahoma" w:cs="Tahoma"/>
        </w:rPr>
        <w:t xml:space="preserve"> fomento a inovação e pesquisa</w:t>
      </w:r>
      <w:r w:rsidR="00E315F4">
        <w:rPr>
          <w:rFonts w:ascii="Tahoma" w:hAnsi="Tahoma" w:cs="Tahoma"/>
        </w:rPr>
        <w:t xml:space="preserve"> e </w:t>
      </w:r>
      <w:r w:rsidR="00901422">
        <w:rPr>
          <w:rFonts w:ascii="Tahoma" w:hAnsi="Tahoma" w:cs="Tahoma"/>
        </w:rPr>
        <w:t>fortalecimento de organizações da agricultura familiar</w:t>
      </w:r>
      <w:r w:rsidR="00450E27">
        <w:rPr>
          <w:rFonts w:ascii="Tahoma" w:hAnsi="Tahoma" w:cs="Tahoma"/>
        </w:rPr>
        <w:t>,</w:t>
      </w:r>
      <w:r w:rsidR="00901422">
        <w:rPr>
          <w:rFonts w:ascii="Tahoma" w:hAnsi="Tahoma" w:cs="Tahoma"/>
        </w:rPr>
        <w:t xml:space="preserve"> </w:t>
      </w:r>
      <w:r w:rsidR="00E315F4">
        <w:rPr>
          <w:rFonts w:ascii="Tahoma" w:hAnsi="Tahoma" w:cs="Tahoma"/>
        </w:rPr>
        <w:t>assim como</w:t>
      </w:r>
      <w:r w:rsidR="00450E27">
        <w:rPr>
          <w:rFonts w:ascii="Tahoma" w:hAnsi="Tahoma" w:cs="Tahoma"/>
        </w:rPr>
        <w:t xml:space="preserve"> a</w:t>
      </w:r>
      <w:r w:rsidR="0043420E">
        <w:rPr>
          <w:rFonts w:ascii="Tahoma" w:hAnsi="Tahoma" w:cs="Tahoma"/>
        </w:rPr>
        <w:t xml:space="preserve"> inclusão</w:t>
      </w:r>
      <w:r w:rsidR="00D70B23">
        <w:rPr>
          <w:rFonts w:ascii="Tahoma" w:hAnsi="Tahoma" w:cs="Tahoma"/>
        </w:rPr>
        <w:t xml:space="preserve"> destas</w:t>
      </w:r>
      <w:r w:rsidR="0043420E">
        <w:rPr>
          <w:rFonts w:ascii="Tahoma" w:hAnsi="Tahoma" w:cs="Tahoma"/>
        </w:rPr>
        <w:t xml:space="preserve"> </w:t>
      </w:r>
      <w:r w:rsidR="00A35D2D">
        <w:rPr>
          <w:rFonts w:ascii="Tahoma" w:hAnsi="Tahoma" w:cs="Tahoma"/>
        </w:rPr>
        <w:t>nas cadeias produtivas</w:t>
      </w:r>
      <w:r w:rsidR="0043420E">
        <w:rPr>
          <w:rFonts w:ascii="Tahoma" w:hAnsi="Tahoma" w:cs="Tahoma"/>
        </w:rPr>
        <w:t xml:space="preserve"> do biodiesel e outros biocombustíveis</w:t>
      </w:r>
      <w:r w:rsidR="00A35D2D">
        <w:rPr>
          <w:rFonts w:ascii="Tahoma" w:hAnsi="Tahoma" w:cs="Tahoma"/>
        </w:rPr>
        <w:t>.</w:t>
      </w:r>
      <w:r w:rsidR="008813E0">
        <w:rPr>
          <w:rFonts w:ascii="Tahoma" w:hAnsi="Tahoma" w:cs="Tahoma"/>
        </w:rPr>
        <w:t xml:space="preserve"> </w:t>
      </w:r>
    </w:p>
    <w:p w14:paraId="413B9A9A" w14:textId="77D74B5B" w:rsidR="00F83AD0" w:rsidRDefault="00365C7B" w:rsidP="005C71C6">
      <w:pPr>
        <w:pStyle w:val="PargrafodaLista"/>
        <w:spacing w:before="240" w:after="240" w:line="360" w:lineRule="auto"/>
        <w:ind w:left="284" w:firstLine="227"/>
        <w:jc w:val="both"/>
        <w:rPr>
          <w:rFonts w:ascii="Tahoma" w:hAnsi="Tahoma" w:cs="Tahoma"/>
        </w:rPr>
      </w:pPr>
      <w:r>
        <w:rPr>
          <w:rFonts w:ascii="Tahoma" w:hAnsi="Tahoma" w:cs="Tahoma"/>
        </w:rPr>
        <w:t>Em quesitos operacionais</w:t>
      </w:r>
      <w:r w:rsidR="00A00A3E" w:rsidRPr="5C0B10CB">
        <w:rPr>
          <w:rFonts w:ascii="Tahoma" w:hAnsi="Tahoma" w:cs="Tahoma"/>
        </w:rPr>
        <w:t>, os decretos alteraram forma de cumprimento do selo inserindo o conceito de dispêndio em aquisições (matéria-prima) e em fomento (cadeia produtiva). Alterou-se também a obrigatoriedade de aquisição de matéria</w:t>
      </w:r>
      <w:r w:rsidR="005F11B5">
        <w:rPr>
          <w:rFonts w:ascii="Tahoma" w:hAnsi="Tahoma" w:cs="Tahoma"/>
        </w:rPr>
        <w:t>-</w:t>
      </w:r>
      <w:r w:rsidR="00A00A3E" w:rsidRPr="5C0B10CB">
        <w:rPr>
          <w:rFonts w:ascii="Tahoma" w:hAnsi="Tahoma" w:cs="Tahoma"/>
        </w:rPr>
        <w:t>prima podendo o produtor optar por incentivar o agricultor familiar ou associações com valor mínimo de dispêndio</w:t>
      </w:r>
      <w:r w:rsidR="00205A60">
        <w:rPr>
          <w:rFonts w:ascii="Tahoma" w:hAnsi="Tahoma" w:cs="Tahoma"/>
        </w:rPr>
        <w:t xml:space="preserve"> definido pelo programa</w:t>
      </w:r>
      <w:r w:rsidR="00A00A3E" w:rsidRPr="5C0B10CB">
        <w:rPr>
          <w:rFonts w:ascii="Tahoma" w:hAnsi="Tahoma" w:cs="Tahoma"/>
        </w:rPr>
        <w:t>. A base de cálculo</w:t>
      </w:r>
      <w:r w:rsidR="00205A60">
        <w:rPr>
          <w:rFonts w:ascii="Tahoma" w:hAnsi="Tahoma" w:cs="Tahoma"/>
        </w:rPr>
        <w:t xml:space="preserve"> para disp</w:t>
      </w:r>
      <w:r w:rsidR="009664FF">
        <w:rPr>
          <w:rFonts w:ascii="Tahoma" w:hAnsi="Tahoma" w:cs="Tahoma"/>
        </w:rPr>
        <w:t>ê</w:t>
      </w:r>
      <w:r w:rsidR="00205A60">
        <w:rPr>
          <w:rFonts w:ascii="Tahoma" w:hAnsi="Tahoma" w:cs="Tahoma"/>
        </w:rPr>
        <w:t>ndio</w:t>
      </w:r>
      <w:r w:rsidR="00A00A3E" w:rsidRPr="5C0B10CB">
        <w:rPr>
          <w:rFonts w:ascii="Tahoma" w:hAnsi="Tahoma" w:cs="Tahoma"/>
        </w:rPr>
        <w:t xml:space="preserve"> deixou de ser sobre</w:t>
      </w:r>
      <w:r w:rsidR="009664FF">
        <w:rPr>
          <w:rFonts w:ascii="Tahoma" w:hAnsi="Tahoma" w:cs="Tahoma"/>
        </w:rPr>
        <w:t xml:space="preserve"> o</w:t>
      </w:r>
      <w:r w:rsidR="00A00A3E" w:rsidRPr="5C0B10CB">
        <w:rPr>
          <w:rFonts w:ascii="Tahoma" w:hAnsi="Tahoma" w:cs="Tahoma"/>
        </w:rPr>
        <w:t xml:space="preserve"> percentual matéria prima total adquirida e passou a ser sobre o valor de biodiesel comercializado pelo produtor. </w:t>
      </w:r>
      <w:r w:rsidR="0045053F">
        <w:rPr>
          <w:rFonts w:ascii="Tahoma" w:hAnsi="Tahoma" w:cs="Tahoma"/>
        </w:rPr>
        <w:t>Deste mod</w:t>
      </w:r>
      <w:r w:rsidR="00277487">
        <w:rPr>
          <w:rFonts w:ascii="Tahoma" w:hAnsi="Tahoma" w:cs="Tahoma"/>
        </w:rPr>
        <w:t>o o programa</w:t>
      </w:r>
      <w:r w:rsidR="0045053F">
        <w:rPr>
          <w:rFonts w:ascii="Tahoma" w:hAnsi="Tahoma" w:cs="Tahoma"/>
        </w:rPr>
        <w:t xml:space="preserve"> aumenta a flexibilidade em adesão ao </w:t>
      </w:r>
      <w:r w:rsidR="00277487">
        <w:rPr>
          <w:rFonts w:ascii="Tahoma" w:hAnsi="Tahoma" w:cs="Tahoma"/>
        </w:rPr>
        <w:t>SBS</w:t>
      </w:r>
      <w:r w:rsidR="0045053F">
        <w:rPr>
          <w:rFonts w:ascii="Tahoma" w:hAnsi="Tahoma" w:cs="Tahoma"/>
        </w:rPr>
        <w:t xml:space="preserve"> </w:t>
      </w:r>
      <w:r w:rsidR="00277487">
        <w:rPr>
          <w:rFonts w:ascii="Tahoma" w:hAnsi="Tahoma" w:cs="Tahoma"/>
        </w:rPr>
        <w:t>uma vez</w:t>
      </w:r>
      <w:r w:rsidR="0045053F">
        <w:rPr>
          <w:rFonts w:ascii="Tahoma" w:hAnsi="Tahoma" w:cs="Tahoma"/>
        </w:rPr>
        <w:t xml:space="preserve"> que o produto</w:t>
      </w:r>
      <w:r w:rsidR="00516E91">
        <w:rPr>
          <w:rFonts w:ascii="Tahoma" w:hAnsi="Tahoma" w:cs="Tahoma"/>
        </w:rPr>
        <w:t>r</w:t>
      </w:r>
      <w:r w:rsidR="0045053F">
        <w:rPr>
          <w:rFonts w:ascii="Tahoma" w:hAnsi="Tahoma" w:cs="Tahoma"/>
        </w:rPr>
        <w:t xml:space="preserve"> de biodiesel n</w:t>
      </w:r>
      <w:r w:rsidR="00C56ED5">
        <w:rPr>
          <w:rFonts w:ascii="Tahoma" w:hAnsi="Tahoma" w:cs="Tahoma"/>
        </w:rPr>
        <w:t xml:space="preserve">ão fica restrito </w:t>
      </w:r>
      <w:r w:rsidR="00516E91">
        <w:rPr>
          <w:rFonts w:ascii="Tahoma" w:hAnsi="Tahoma" w:cs="Tahoma"/>
        </w:rPr>
        <w:t>à</w:t>
      </w:r>
      <w:r w:rsidR="00C56ED5">
        <w:rPr>
          <w:rFonts w:ascii="Tahoma" w:hAnsi="Tahoma" w:cs="Tahoma"/>
        </w:rPr>
        <w:t xml:space="preserve"> aquisição de sua matéria-prima apenas d</w:t>
      </w:r>
      <w:r w:rsidR="00D969E4">
        <w:rPr>
          <w:rFonts w:ascii="Tahoma" w:hAnsi="Tahoma" w:cs="Tahoma"/>
        </w:rPr>
        <w:t>a agricultura familiar</w:t>
      </w:r>
      <w:r w:rsidR="00516E91">
        <w:rPr>
          <w:rFonts w:ascii="Tahoma" w:hAnsi="Tahoma" w:cs="Tahoma"/>
        </w:rPr>
        <w:t xml:space="preserve">. </w:t>
      </w:r>
    </w:p>
    <w:p w14:paraId="3DADCFE5" w14:textId="0596D146" w:rsidR="00D043F9" w:rsidRDefault="0036582B" w:rsidP="005C71C6">
      <w:pPr>
        <w:pStyle w:val="PargrafodaLista"/>
        <w:spacing w:before="240" w:after="240" w:line="360" w:lineRule="auto"/>
        <w:ind w:left="284" w:firstLine="227"/>
        <w:jc w:val="both"/>
        <w:rPr>
          <w:rFonts w:ascii="Tahoma" w:hAnsi="Tahoma" w:cs="Tahoma"/>
        </w:rPr>
      </w:pPr>
      <w:r>
        <w:rPr>
          <w:rFonts w:ascii="Tahoma" w:hAnsi="Tahoma" w:cs="Tahoma"/>
        </w:rPr>
        <w:t>O</w:t>
      </w:r>
      <w:r w:rsidR="0069476C">
        <w:rPr>
          <w:rFonts w:ascii="Tahoma" w:hAnsi="Tahoma" w:cs="Tahoma"/>
        </w:rPr>
        <w:t>s benefícios fiscais</w:t>
      </w:r>
      <w:r w:rsidR="00C60E77">
        <w:rPr>
          <w:rFonts w:ascii="Tahoma" w:hAnsi="Tahoma" w:cs="Tahoma"/>
        </w:rPr>
        <w:t xml:space="preserve"> de</w:t>
      </w:r>
      <w:r w:rsidR="00152917">
        <w:rPr>
          <w:rFonts w:ascii="Tahoma" w:hAnsi="Tahoma" w:cs="Tahoma"/>
        </w:rPr>
        <w:t xml:space="preserve"> </w:t>
      </w:r>
      <w:r w:rsidR="002E26C7">
        <w:rPr>
          <w:rFonts w:ascii="Tahoma" w:hAnsi="Tahoma" w:cs="Tahoma"/>
        </w:rPr>
        <w:t>redução</w:t>
      </w:r>
      <w:r w:rsidR="00152917">
        <w:rPr>
          <w:rFonts w:ascii="Tahoma" w:hAnsi="Tahoma" w:cs="Tahoma"/>
        </w:rPr>
        <w:t xml:space="preserve"> n</w:t>
      </w:r>
      <w:r w:rsidR="001A75CC">
        <w:rPr>
          <w:rFonts w:ascii="Tahoma" w:hAnsi="Tahoma" w:cs="Tahoma"/>
        </w:rPr>
        <w:t>a contribuição do PIS/PASEP e C</w:t>
      </w:r>
      <w:r w:rsidR="009751F7">
        <w:rPr>
          <w:rFonts w:ascii="Tahoma" w:hAnsi="Tahoma" w:cs="Tahoma"/>
        </w:rPr>
        <w:t>ofins</w:t>
      </w:r>
      <w:r w:rsidR="00C60E77">
        <w:rPr>
          <w:rFonts w:ascii="Tahoma" w:hAnsi="Tahoma" w:cs="Tahoma"/>
        </w:rPr>
        <w:t xml:space="preserve"> aos produtores de biodiesel</w:t>
      </w:r>
      <w:r w:rsidR="009751F7">
        <w:rPr>
          <w:rFonts w:ascii="Tahoma" w:hAnsi="Tahoma" w:cs="Tahoma"/>
        </w:rPr>
        <w:t xml:space="preserve"> tiveram coeficientes de descontos alterados</w:t>
      </w:r>
      <w:r w:rsidR="00826266">
        <w:rPr>
          <w:rFonts w:ascii="Tahoma" w:hAnsi="Tahoma" w:cs="Tahoma"/>
        </w:rPr>
        <w:t xml:space="preserve"> e diferenciados em função d</w:t>
      </w:r>
      <w:r w:rsidR="00D05F99">
        <w:rPr>
          <w:rFonts w:ascii="Tahoma" w:hAnsi="Tahoma" w:cs="Tahoma"/>
        </w:rPr>
        <w:t xml:space="preserve">o tipo de fomento </w:t>
      </w:r>
      <w:r w:rsidR="001B44B2">
        <w:rPr>
          <w:rFonts w:ascii="Tahoma" w:hAnsi="Tahoma" w:cs="Tahoma"/>
        </w:rPr>
        <w:t>adotado</w:t>
      </w:r>
      <w:r w:rsidR="00D05F99">
        <w:rPr>
          <w:rFonts w:ascii="Tahoma" w:hAnsi="Tahoma" w:cs="Tahoma"/>
        </w:rPr>
        <w:t xml:space="preserve"> pelo produtor que detém o selo</w:t>
      </w:r>
      <w:r w:rsidR="00C60E77">
        <w:rPr>
          <w:rFonts w:ascii="Tahoma" w:hAnsi="Tahoma" w:cs="Tahoma"/>
        </w:rPr>
        <w:t>.</w:t>
      </w:r>
      <w:r w:rsidR="009751F7">
        <w:rPr>
          <w:rFonts w:ascii="Tahoma" w:hAnsi="Tahoma" w:cs="Tahoma"/>
        </w:rPr>
        <w:t xml:space="preserve"> </w:t>
      </w:r>
      <w:r w:rsidR="00C60E77">
        <w:rPr>
          <w:rFonts w:ascii="Tahoma" w:hAnsi="Tahoma" w:cs="Tahoma"/>
        </w:rPr>
        <w:t>As alterações</w:t>
      </w:r>
      <w:r w:rsidR="00404543">
        <w:rPr>
          <w:rFonts w:ascii="Tahoma" w:hAnsi="Tahoma" w:cs="Tahoma"/>
        </w:rPr>
        <w:t xml:space="preserve"> estabelecem um coeficiente de desconto básico</w:t>
      </w:r>
      <w:r w:rsidR="008E1A05">
        <w:rPr>
          <w:rFonts w:ascii="Tahoma" w:hAnsi="Tahoma" w:cs="Tahoma"/>
        </w:rPr>
        <w:t xml:space="preserve"> de</w:t>
      </w:r>
      <w:r w:rsidR="00901D47">
        <w:rPr>
          <w:rFonts w:ascii="Tahoma" w:hAnsi="Tahoma" w:cs="Tahoma"/>
        </w:rPr>
        <w:t xml:space="preserve"> 78,</w:t>
      </w:r>
      <w:r w:rsidR="008E1A05">
        <w:rPr>
          <w:rFonts w:ascii="Tahoma" w:hAnsi="Tahoma" w:cs="Tahoma"/>
        </w:rPr>
        <w:t>02</w:t>
      </w:r>
      <w:r w:rsidR="00901D47">
        <w:rPr>
          <w:rFonts w:ascii="Tahoma" w:hAnsi="Tahoma" w:cs="Tahoma"/>
        </w:rPr>
        <w:t>%</w:t>
      </w:r>
      <w:r w:rsidR="008E1A05">
        <w:rPr>
          <w:rFonts w:ascii="Tahoma" w:hAnsi="Tahoma" w:cs="Tahoma"/>
        </w:rPr>
        <w:t xml:space="preserve"> e</w:t>
      </w:r>
      <w:r w:rsidR="00404543">
        <w:rPr>
          <w:rFonts w:ascii="Tahoma" w:hAnsi="Tahoma" w:cs="Tahoma"/>
        </w:rPr>
        <w:t xml:space="preserve"> </w:t>
      </w:r>
      <w:r w:rsidR="00CD0B23">
        <w:rPr>
          <w:rFonts w:ascii="Tahoma" w:hAnsi="Tahoma" w:cs="Tahoma"/>
        </w:rPr>
        <w:t xml:space="preserve">maiores </w:t>
      </w:r>
      <w:r w:rsidR="00994F50">
        <w:rPr>
          <w:rFonts w:ascii="Tahoma" w:hAnsi="Tahoma" w:cs="Tahoma"/>
        </w:rPr>
        <w:t>coeficiente</w:t>
      </w:r>
      <w:r w:rsidR="008E1A05">
        <w:rPr>
          <w:rFonts w:ascii="Tahoma" w:hAnsi="Tahoma" w:cs="Tahoma"/>
        </w:rPr>
        <w:t>s</w:t>
      </w:r>
      <w:r w:rsidR="00994F50">
        <w:rPr>
          <w:rFonts w:ascii="Tahoma" w:hAnsi="Tahoma" w:cs="Tahoma"/>
        </w:rPr>
        <w:t xml:space="preserve"> </w:t>
      </w:r>
      <w:r w:rsidR="00084BBE">
        <w:rPr>
          <w:rFonts w:ascii="Tahoma" w:hAnsi="Tahoma" w:cs="Tahoma"/>
        </w:rPr>
        <w:t xml:space="preserve">para </w:t>
      </w:r>
      <w:r w:rsidR="005F403B">
        <w:rPr>
          <w:rFonts w:ascii="Tahoma" w:hAnsi="Tahoma" w:cs="Tahoma"/>
        </w:rPr>
        <w:t xml:space="preserve">biodiesel </w:t>
      </w:r>
      <w:r w:rsidR="00DE270C">
        <w:rPr>
          <w:rFonts w:ascii="Tahoma" w:hAnsi="Tahoma" w:cs="Tahoma"/>
        </w:rPr>
        <w:t>produzido de matérias-primas</w:t>
      </w:r>
      <w:r w:rsidR="007A3A06">
        <w:rPr>
          <w:rFonts w:ascii="Tahoma" w:hAnsi="Tahoma" w:cs="Tahoma"/>
        </w:rPr>
        <w:t xml:space="preserve"> específicas ou</w:t>
      </w:r>
      <w:r w:rsidR="00DE270C">
        <w:rPr>
          <w:rFonts w:ascii="Tahoma" w:hAnsi="Tahoma" w:cs="Tahoma"/>
        </w:rPr>
        <w:t xml:space="preserve"> </w:t>
      </w:r>
      <w:r w:rsidR="00A27A64">
        <w:rPr>
          <w:rFonts w:ascii="Tahoma" w:hAnsi="Tahoma" w:cs="Tahoma"/>
        </w:rPr>
        <w:t xml:space="preserve">adquiridas de agricultor familiar enquadrado no </w:t>
      </w:r>
      <w:r w:rsidR="006C137A" w:rsidRPr="006C137A">
        <w:rPr>
          <w:rFonts w:ascii="Tahoma" w:hAnsi="Tahoma" w:cs="Tahoma"/>
        </w:rPr>
        <w:t>Programa Nacional de Fortalecimento da Agricultura Familiar</w:t>
      </w:r>
      <w:r w:rsidR="006C137A">
        <w:rPr>
          <w:rFonts w:ascii="Tahoma" w:hAnsi="Tahoma" w:cs="Tahoma"/>
        </w:rPr>
        <w:t xml:space="preserve"> - </w:t>
      </w:r>
      <w:r w:rsidR="00A27A64">
        <w:rPr>
          <w:rFonts w:ascii="Tahoma" w:hAnsi="Tahoma" w:cs="Tahoma"/>
        </w:rPr>
        <w:t>Pronaf</w:t>
      </w:r>
      <w:r w:rsidR="00283AAD">
        <w:rPr>
          <w:rFonts w:ascii="Tahoma" w:hAnsi="Tahoma" w:cs="Tahoma"/>
        </w:rPr>
        <w:t>. Os descontos</w:t>
      </w:r>
      <w:r w:rsidR="00A27A64">
        <w:rPr>
          <w:rFonts w:ascii="Tahoma" w:hAnsi="Tahoma" w:cs="Tahoma"/>
        </w:rPr>
        <w:t xml:space="preserve"> </w:t>
      </w:r>
      <w:r w:rsidR="00B0135C">
        <w:rPr>
          <w:rFonts w:ascii="Tahoma" w:hAnsi="Tahoma" w:cs="Tahoma"/>
        </w:rPr>
        <w:t>pode</w:t>
      </w:r>
      <w:r w:rsidR="00283AAD">
        <w:rPr>
          <w:rFonts w:ascii="Tahoma" w:hAnsi="Tahoma" w:cs="Tahoma"/>
        </w:rPr>
        <w:t>m até</w:t>
      </w:r>
      <w:r w:rsidR="00B0135C">
        <w:rPr>
          <w:rFonts w:ascii="Tahoma" w:hAnsi="Tahoma" w:cs="Tahoma"/>
        </w:rPr>
        <w:t xml:space="preserve"> chegar</w:t>
      </w:r>
      <w:r w:rsidR="007512B8">
        <w:rPr>
          <w:rFonts w:ascii="Tahoma" w:hAnsi="Tahoma" w:cs="Tahoma"/>
        </w:rPr>
        <w:t xml:space="preserve"> a </w:t>
      </w:r>
      <w:r w:rsidR="00147DF1">
        <w:rPr>
          <w:rFonts w:ascii="Tahoma" w:hAnsi="Tahoma" w:cs="Tahoma"/>
        </w:rPr>
        <w:t>zerar</w:t>
      </w:r>
      <w:r w:rsidR="00283AAD">
        <w:rPr>
          <w:rFonts w:ascii="Tahoma" w:hAnsi="Tahoma" w:cs="Tahoma"/>
        </w:rPr>
        <w:t xml:space="preserve"> </w:t>
      </w:r>
      <w:r w:rsidR="00147DF1">
        <w:rPr>
          <w:rFonts w:ascii="Tahoma" w:hAnsi="Tahoma" w:cs="Tahoma"/>
        </w:rPr>
        <w:t>a</w:t>
      </w:r>
      <w:r w:rsidR="00283AAD">
        <w:rPr>
          <w:rFonts w:ascii="Tahoma" w:hAnsi="Tahoma" w:cs="Tahoma"/>
        </w:rPr>
        <w:t xml:space="preserve"> contribuição</w:t>
      </w:r>
      <w:r w:rsidR="007512B8">
        <w:rPr>
          <w:rFonts w:ascii="Tahoma" w:hAnsi="Tahoma" w:cs="Tahoma"/>
        </w:rPr>
        <w:t xml:space="preserve"> c</w:t>
      </w:r>
      <w:r w:rsidR="00BB17CE">
        <w:rPr>
          <w:rFonts w:ascii="Tahoma" w:hAnsi="Tahoma" w:cs="Tahoma"/>
        </w:rPr>
        <w:t xml:space="preserve">aso </w:t>
      </w:r>
      <w:r w:rsidR="00FF0138">
        <w:rPr>
          <w:rFonts w:ascii="Tahoma" w:hAnsi="Tahoma" w:cs="Tahoma"/>
        </w:rPr>
        <w:t>a matéria prima</w:t>
      </w:r>
      <w:r w:rsidR="008A35CF">
        <w:rPr>
          <w:rFonts w:ascii="Tahoma" w:hAnsi="Tahoma" w:cs="Tahoma"/>
        </w:rPr>
        <w:t xml:space="preserve"> seja também produzida na </w:t>
      </w:r>
      <w:r w:rsidR="00FF0138">
        <w:rPr>
          <w:rFonts w:ascii="Tahoma" w:hAnsi="Tahoma" w:cs="Tahoma"/>
        </w:rPr>
        <w:t xml:space="preserve">região Norte e Nordeste e </w:t>
      </w:r>
      <w:r w:rsidR="00C60E77">
        <w:rPr>
          <w:rFonts w:ascii="Tahoma" w:hAnsi="Tahoma" w:cs="Tahoma"/>
        </w:rPr>
        <w:t>no Semiárido.</w:t>
      </w:r>
    </w:p>
    <w:p w14:paraId="250B7B86" w14:textId="1F133C37" w:rsidR="00071CC6" w:rsidRDefault="00071CC6" w:rsidP="005C71C6">
      <w:pPr>
        <w:pStyle w:val="PargrafodaLista"/>
        <w:spacing w:before="240" w:after="240" w:line="360" w:lineRule="auto"/>
        <w:ind w:left="284" w:firstLine="227"/>
        <w:jc w:val="both"/>
        <w:rPr>
          <w:rFonts w:ascii="Tahoma" w:hAnsi="Tahoma" w:cs="Tahoma"/>
        </w:rPr>
      </w:pPr>
      <w:r>
        <w:rPr>
          <w:rFonts w:ascii="Tahoma" w:hAnsi="Tahoma" w:cs="Tahoma"/>
        </w:rPr>
        <w:t>A substituição do S</w:t>
      </w:r>
      <w:r w:rsidR="00444EA9">
        <w:rPr>
          <w:rFonts w:ascii="Tahoma" w:hAnsi="Tahoma" w:cs="Tahoma"/>
        </w:rPr>
        <w:t xml:space="preserve">CS pelo SBS não </w:t>
      </w:r>
      <w:r w:rsidR="002B65CD">
        <w:rPr>
          <w:rFonts w:ascii="Tahoma" w:hAnsi="Tahoma" w:cs="Tahoma"/>
        </w:rPr>
        <w:t xml:space="preserve">retirou o benefício de prioridade de </w:t>
      </w:r>
      <w:r w:rsidR="00756524">
        <w:rPr>
          <w:rFonts w:ascii="Tahoma" w:hAnsi="Tahoma" w:cs="Tahoma"/>
        </w:rPr>
        <w:t>comercialização</w:t>
      </w:r>
      <w:r w:rsidR="002B65CD">
        <w:rPr>
          <w:rFonts w:ascii="Tahoma" w:hAnsi="Tahoma" w:cs="Tahoma"/>
        </w:rPr>
        <w:t xml:space="preserve"> do</w:t>
      </w:r>
      <w:r w:rsidR="00756524">
        <w:rPr>
          <w:rFonts w:ascii="Tahoma" w:hAnsi="Tahoma" w:cs="Tahoma"/>
        </w:rPr>
        <w:t xml:space="preserve"> produtor que detém o selo</w:t>
      </w:r>
      <w:r w:rsidR="00744EFA">
        <w:rPr>
          <w:rFonts w:ascii="Tahoma" w:hAnsi="Tahoma" w:cs="Tahoma"/>
        </w:rPr>
        <w:t xml:space="preserve"> </w:t>
      </w:r>
      <w:r w:rsidR="00B93442">
        <w:rPr>
          <w:rFonts w:ascii="Tahoma" w:hAnsi="Tahoma" w:cs="Tahoma"/>
        </w:rPr>
        <w:t xml:space="preserve">uma vez que segundo a resolução </w:t>
      </w:r>
      <w:r w:rsidR="00835F84">
        <w:rPr>
          <w:rFonts w:ascii="Tahoma" w:hAnsi="Tahoma" w:cs="Tahoma"/>
        </w:rPr>
        <w:t xml:space="preserve">CNPE </w:t>
      </w:r>
      <w:r w:rsidR="002320AD">
        <w:rPr>
          <w:rFonts w:ascii="Tahoma" w:hAnsi="Tahoma" w:cs="Tahoma"/>
        </w:rPr>
        <w:t xml:space="preserve">n° </w:t>
      </w:r>
      <w:r w:rsidR="00835F84">
        <w:rPr>
          <w:rFonts w:ascii="Tahoma" w:hAnsi="Tahoma" w:cs="Tahoma"/>
        </w:rPr>
        <w:t>14</w:t>
      </w:r>
      <w:r w:rsidR="002320AD">
        <w:rPr>
          <w:rFonts w:ascii="Tahoma" w:hAnsi="Tahoma" w:cs="Tahoma"/>
        </w:rPr>
        <w:t xml:space="preserve"> de 2020 o novo modelo de comercialização </w:t>
      </w:r>
      <w:r w:rsidR="0026731A">
        <w:rPr>
          <w:rFonts w:ascii="Tahoma" w:hAnsi="Tahoma" w:cs="Tahoma"/>
        </w:rPr>
        <w:t>praticado</w:t>
      </w:r>
      <w:r w:rsidR="002320AD">
        <w:rPr>
          <w:rFonts w:ascii="Tahoma" w:hAnsi="Tahoma" w:cs="Tahoma"/>
        </w:rPr>
        <w:t xml:space="preserve"> a partir de 2022</w:t>
      </w:r>
      <w:r w:rsidR="0026731A">
        <w:rPr>
          <w:rFonts w:ascii="Tahoma" w:hAnsi="Tahoma" w:cs="Tahoma"/>
        </w:rPr>
        <w:t xml:space="preserve"> </w:t>
      </w:r>
      <w:r w:rsidR="00765BDC">
        <w:rPr>
          <w:rFonts w:ascii="Tahoma" w:hAnsi="Tahoma" w:cs="Tahoma"/>
        </w:rPr>
        <w:t>prevê</w:t>
      </w:r>
      <w:r w:rsidR="00721628">
        <w:rPr>
          <w:rFonts w:ascii="Tahoma" w:hAnsi="Tahoma" w:cs="Tahoma"/>
        </w:rPr>
        <w:t xml:space="preserve"> que 80% do</w:t>
      </w:r>
      <w:r w:rsidR="00BF765A">
        <w:rPr>
          <w:rFonts w:ascii="Tahoma" w:hAnsi="Tahoma" w:cs="Tahoma"/>
        </w:rPr>
        <w:t xml:space="preserve"> biodiesel comercializado seja produzido por </w:t>
      </w:r>
      <w:r w:rsidR="00B02FF6">
        <w:rPr>
          <w:rFonts w:ascii="Tahoma" w:hAnsi="Tahoma" w:cs="Tahoma"/>
        </w:rPr>
        <w:t xml:space="preserve">unidades detentoras do </w:t>
      </w:r>
      <w:r w:rsidR="0017433D">
        <w:rPr>
          <w:rFonts w:ascii="Tahoma" w:hAnsi="Tahoma" w:cs="Tahoma"/>
        </w:rPr>
        <w:t>Selo Biocombustível Social.</w:t>
      </w:r>
    </w:p>
    <w:p w14:paraId="40151C5C" w14:textId="6AB24580" w:rsidR="00A00A3E" w:rsidRDefault="00D043F9" w:rsidP="005C71C6">
      <w:pPr>
        <w:pStyle w:val="PargrafodaLista"/>
        <w:spacing w:before="240" w:after="240" w:line="360" w:lineRule="auto"/>
        <w:ind w:left="284" w:firstLine="227"/>
        <w:jc w:val="both"/>
        <w:rPr>
          <w:rFonts w:ascii="Tahoma" w:hAnsi="Tahoma" w:cs="Tahoma"/>
        </w:rPr>
      </w:pPr>
      <w:r w:rsidRPr="00D043F9">
        <w:rPr>
          <w:rFonts w:ascii="Tahoma" w:hAnsi="Tahoma" w:cs="Tahoma"/>
        </w:rPr>
        <w:t>A mudança de paradigma ampliou a abrangência da política pública, incrementando os incentivos de desenvolvimento da cadeia do biodiesel e  reforçando os compromissos sociais dessa indústria.</w:t>
      </w:r>
    </w:p>
    <w:p w14:paraId="3FCC2CAF" w14:textId="63C8C668" w:rsidR="00DB367A" w:rsidRPr="00DB367A" w:rsidRDefault="00FD28B8" w:rsidP="00DB367A">
      <w:pPr>
        <w:pStyle w:val="Ttulo1"/>
        <w:keepLines w:val="0"/>
        <w:numPr>
          <w:ilvl w:val="1"/>
          <w:numId w:val="1"/>
        </w:numPr>
        <w:spacing w:before="400" w:after="200"/>
        <w:rPr>
          <w:rFonts w:eastAsia="Times New Roman" w:cs="Arial"/>
          <w:kern w:val="32"/>
          <w:sz w:val="26"/>
          <w:szCs w:val="32"/>
        </w:rPr>
      </w:pPr>
      <w:r>
        <w:rPr>
          <w:rFonts w:eastAsia="Times New Roman" w:cs="Arial"/>
          <w:kern w:val="32"/>
          <w:sz w:val="26"/>
          <w:szCs w:val="32"/>
        </w:rPr>
        <w:lastRenderedPageBreak/>
        <w:t>D</w:t>
      </w:r>
      <w:r w:rsidR="00F87987">
        <w:rPr>
          <w:rFonts w:eastAsia="Times New Roman" w:cs="Arial"/>
          <w:kern w:val="32"/>
          <w:sz w:val="26"/>
          <w:szCs w:val="32"/>
        </w:rPr>
        <w:t>iversificação de matérias-primas</w:t>
      </w:r>
      <w:r>
        <w:rPr>
          <w:rFonts w:eastAsia="Times New Roman" w:cs="Arial"/>
          <w:kern w:val="32"/>
          <w:sz w:val="26"/>
          <w:szCs w:val="32"/>
        </w:rPr>
        <w:t xml:space="preserve"> e </w:t>
      </w:r>
      <w:r w:rsidR="00BC7224">
        <w:rPr>
          <w:rFonts w:eastAsia="Times New Roman" w:cs="Arial"/>
          <w:kern w:val="32"/>
          <w:sz w:val="26"/>
          <w:szCs w:val="32"/>
        </w:rPr>
        <w:t>inclusão de óleos residuais</w:t>
      </w:r>
      <w:r w:rsidR="00F87987">
        <w:rPr>
          <w:rFonts w:eastAsia="Times New Roman" w:cs="Arial"/>
          <w:kern w:val="32"/>
          <w:sz w:val="26"/>
          <w:szCs w:val="32"/>
        </w:rPr>
        <w:t xml:space="preserve"> </w:t>
      </w:r>
    </w:p>
    <w:p w14:paraId="120919C3" w14:textId="341A7AA5" w:rsidR="005345B8" w:rsidRDefault="00E00371" w:rsidP="005C71C6">
      <w:pPr>
        <w:pStyle w:val="PargrafodaLista"/>
        <w:spacing w:before="240" w:after="240" w:line="360" w:lineRule="auto"/>
        <w:ind w:left="284" w:firstLine="226"/>
        <w:jc w:val="both"/>
        <w:rPr>
          <w:rFonts w:ascii="Tahoma" w:hAnsi="Tahoma" w:cs="Tahoma"/>
        </w:rPr>
      </w:pPr>
      <w:r w:rsidRPr="5C0B10CB">
        <w:rPr>
          <w:rFonts w:ascii="Tahoma" w:hAnsi="Tahoma" w:cs="Tahoma"/>
        </w:rPr>
        <w:t>O</w:t>
      </w:r>
      <w:r w:rsidR="00F87987" w:rsidRPr="5C0B10CB">
        <w:rPr>
          <w:rFonts w:ascii="Tahoma" w:hAnsi="Tahoma" w:cs="Tahoma"/>
        </w:rPr>
        <w:t xml:space="preserve"> biodiesel</w:t>
      </w:r>
      <w:r w:rsidR="002A2020">
        <w:rPr>
          <w:rFonts w:ascii="Tahoma" w:hAnsi="Tahoma" w:cs="Tahoma"/>
        </w:rPr>
        <w:t xml:space="preserve"> </w:t>
      </w:r>
      <w:r w:rsidR="00F87987" w:rsidRPr="5C0B10CB">
        <w:rPr>
          <w:rFonts w:ascii="Tahoma" w:hAnsi="Tahoma" w:cs="Tahoma"/>
        </w:rPr>
        <w:t>possui</w:t>
      </w:r>
      <w:r w:rsidRPr="5C0B10CB">
        <w:rPr>
          <w:rFonts w:ascii="Tahoma" w:hAnsi="Tahoma" w:cs="Tahoma"/>
        </w:rPr>
        <w:t xml:space="preserve"> um</w:t>
      </w:r>
      <w:r w:rsidR="00F87987" w:rsidRPr="5C0B10CB">
        <w:rPr>
          <w:rFonts w:ascii="Tahoma" w:hAnsi="Tahoma" w:cs="Tahoma"/>
        </w:rPr>
        <w:t xml:space="preserve"> amplo espectro de matérias-primas</w:t>
      </w:r>
      <w:r w:rsidRPr="5C0B10CB">
        <w:rPr>
          <w:rFonts w:ascii="Tahoma" w:hAnsi="Tahoma" w:cs="Tahoma"/>
        </w:rPr>
        <w:t xml:space="preserve"> possíveis</w:t>
      </w:r>
      <w:r w:rsidR="00F87987" w:rsidRPr="5C0B10CB">
        <w:rPr>
          <w:rFonts w:ascii="Tahoma" w:hAnsi="Tahoma" w:cs="Tahoma"/>
        </w:rPr>
        <w:t xml:space="preserve"> </w:t>
      </w:r>
      <w:r w:rsidRPr="5C0B10CB">
        <w:rPr>
          <w:rFonts w:ascii="Tahoma" w:hAnsi="Tahoma" w:cs="Tahoma"/>
        </w:rPr>
        <w:t>para</w:t>
      </w:r>
      <w:r w:rsidR="00F87987" w:rsidRPr="5C0B10CB">
        <w:rPr>
          <w:rFonts w:ascii="Tahoma" w:hAnsi="Tahoma" w:cs="Tahoma"/>
        </w:rPr>
        <w:t xml:space="preserve"> sua formulação</w:t>
      </w:r>
      <w:r w:rsidR="00BC7224" w:rsidRPr="5C0B10CB">
        <w:rPr>
          <w:rFonts w:ascii="Tahoma" w:hAnsi="Tahoma" w:cs="Tahoma"/>
        </w:rPr>
        <w:t>.</w:t>
      </w:r>
      <w:r w:rsidRPr="5C0B10CB">
        <w:rPr>
          <w:rFonts w:ascii="Tahoma" w:hAnsi="Tahoma" w:cs="Tahoma"/>
        </w:rPr>
        <w:t xml:space="preserve"> </w:t>
      </w:r>
      <w:r w:rsidR="00BC7224" w:rsidRPr="5C0B10CB">
        <w:rPr>
          <w:rFonts w:ascii="Tahoma" w:hAnsi="Tahoma" w:cs="Tahoma"/>
        </w:rPr>
        <w:t>E</w:t>
      </w:r>
      <w:r w:rsidRPr="5C0B10CB">
        <w:rPr>
          <w:rFonts w:ascii="Tahoma" w:hAnsi="Tahoma" w:cs="Tahoma"/>
        </w:rPr>
        <w:t>ntretanto no Brasil</w:t>
      </w:r>
      <w:r w:rsidR="005345B8" w:rsidRPr="5C0B10CB">
        <w:rPr>
          <w:rFonts w:ascii="Tahoma" w:hAnsi="Tahoma" w:cs="Tahoma"/>
        </w:rPr>
        <w:t>,</w:t>
      </w:r>
      <w:r w:rsidRPr="5C0B10CB">
        <w:rPr>
          <w:rFonts w:ascii="Tahoma" w:hAnsi="Tahoma" w:cs="Tahoma"/>
        </w:rPr>
        <w:t xml:space="preserve"> </w:t>
      </w:r>
      <w:r w:rsidR="00A85233">
        <w:rPr>
          <w:rFonts w:ascii="Tahoma" w:hAnsi="Tahoma" w:cs="Tahoma"/>
        </w:rPr>
        <w:t xml:space="preserve">desde o início do Programa </w:t>
      </w:r>
      <w:r w:rsidRPr="5C0B10CB">
        <w:rPr>
          <w:rFonts w:ascii="Tahoma" w:hAnsi="Tahoma" w:cs="Tahoma"/>
        </w:rPr>
        <w:t>a matéria</w:t>
      </w:r>
      <w:r w:rsidR="005345B8" w:rsidRPr="5C0B10CB">
        <w:rPr>
          <w:rFonts w:ascii="Tahoma" w:hAnsi="Tahoma" w:cs="Tahoma"/>
        </w:rPr>
        <w:t>-</w:t>
      </w:r>
      <w:r w:rsidRPr="5C0B10CB">
        <w:rPr>
          <w:rFonts w:ascii="Tahoma" w:hAnsi="Tahoma" w:cs="Tahoma"/>
        </w:rPr>
        <w:t>prima majoritariamente empregada é o óleo de soja</w:t>
      </w:r>
      <w:r w:rsidR="72F68939" w:rsidRPr="5C0B10CB">
        <w:rPr>
          <w:rFonts w:ascii="Tahoma" w:hAnsi="Tahoma" w:cs="Tahoma"/>
        </w:rPr>
        <w:t>,</w:t>
      </w:r>
      <w:r w:rsidRPr="5C0B10CB">
        <w:rPr>
          <w:rFonts w:ascii="Tahoma" w:hAnsi="Tahoma" w:cs="Tahoma"/>
        </w:rPr>
        <w:t xml:space="preserve"> compondo cerca de 7</w:t>
      </w:r>
      <w:r w:rsidR="63447202" w:rsidRPr="5C0B10CB">
        <w:rPr>
          <w:rFonts w:ascii="Tahoma" w:hAnsi="Tahoma" w:cs="Tahoma"/>
        </w:rPr>
        <w:t>0</w:t>
      </w:r>
      <w:r w:rsidRPr="5C0B10CB">
        <w:rPr>
          <w:rFonts w:ascii="Tahoma" w:hAnsi="Tahoma" w:cs="Tahoma"/>
        </w:rPr>
        <w:t>% d</w:t>
      </w:r>
      <w:r w:rsidR="00BC7224" w:rsidRPr="5C0B10CB">
        <w:rPr>
          <w:rFonts w:ascii="Tahoma" w:hAnsi="Tahoma" w:cs="Tahoma"/>
        </w:rPr>
        <w:t>o volume total utilizado.</w:t>
      </w:r>
      <w:r w:rsidR="005345B8" w:rsidRPr="5C0B10CB">
        <w:rPr>
          <w:rFonts w:ascii="Tahoma" w:hAnsi="Tahoma" w:cs="Tahoma"/>
        </w:rPr>
        <w:t xml:space="preserve"> </w:t>
      </w:r>
      <w:r w:rsidR="009F71D1">
        <w:rPr>
          <w:rFonts w:ascii="Tahoma" w:hAnsi="Tahoma" w:cs="Tahoma"/>
        </w:rPr>
        <w:t>Sabe</w:t>
      </w:r>
      <w:r w:rsidR="00FD28B8" w:rsidRPr="5C0B10CB">
        <w:rPr>
          <w:rFonts w:ascii="Tahoma" w:hAnsi="Tahoma" w:cs="Tahoma"/>
        </w:rPr>
        <w:t xml:space="preserve">-se que </w:t>
      </w:r>
      <w:r w:rsidR="009F71D1">
        <w:rPr>
          <w:rFonts w:ascii="Tahoma" w:hAnsi="Tahoma" w:cs="Tahoma"/>
        </w:rPr>
        <w:t>75% d</w:t>
      </w:r>
      <w:r w:rsidR="00FD28B8" w:rsidRPr="5C0B10CB">
        <w:rPr>
          <w:rFonts w:ascii="Tahoma" w:hAnsi="Tahoma" w:cs="Tahoma"/>
        </w:rPr>
        <w:t xml:space="preserve">o </w:t>
      </w:r>
      <w:r w:rsidR="00227F22">
        <w:rPr>
          <w:rFonts w:ascii="Tahoma" w:hAnsi="Tahoma" w:cs="Tahoma"/>
        </w:rPr>
        <w:t>custo de produção</w:t>
      </w:r>
      <w:r w:rsidR="00FD28B8" w:rsidRPr="5C0B10CB">
        <w:rPr>
          <w:rFonts w:ascii="Tahoma" w:hAnsi="Tahoma" w:cs="Tahoma"/>
        </w:rPr>
        <w:t xml:space="preserve"> do biodiesel </w:t>
      </w:r>
      <w:r w:rsidR="00227F22">
        <w:rPr>
          <w:rFonts w:ascii="Tahoma" w:hAnsi="Tahoma" w:cs="Tahoma"/>
        </w:rPr>
        <w:t>é dependente do custo com matéria prima</w:t>
      </w:r>
      <w:r w:rsidR="00C644FD">
        <w:rPr>
          <w:rFonts w:ascii="Tahoma" w:hAnsi="Tahoma" w:cs="Tahoma"/>
        </w:rPr>
        <w:t xml:space="preserve"> </w:t>
      </w:r>
      <w:r w:rsidR="002F7341" w:rsidRPr="002F7341">
        <w:rPr>
          <w:rFonts w:ascii="Tahoma" w:hAnsi="Tahoma" w:cs="Tahoma"/>
        </w:rPr>
        <w:t>(ATABANI et al., 2012)</w:t>
      </w:r>
      <w:r w:rsidR="00FD28B8" w:rsidRPr="5C0B10CB">
        <w:rPr>
          <w:rFonts w:ascii="Tahoma" w:hAnsi="Tahoma" w:cs="Tahoma"/>
        </w:rPr>
        <w:t>. Portanto a diversificação de matérias-primas é estratégica e consequentemente um dos objetivos do PNPB</w:t>
      </w:r>
      <w:r w:rsidR="00BC7224" w:rsidRPr="5C0B10CB">
        <w:rPr>
          <w:rFonts w:ascii="Tahoma" w:hAnsi="Tahoma" w:cs="Tahoma"/>
        </w:rPr>
        <w:t>.</w:t>
      </w:r>
      <w:r w:rsidR="00FD28B8" w:rsidRPr="5C0B10CB">
        <w:rPr>
          <w:rFonts w:ascii="Tahoma" w:hAnsi="Tahoma" w:cs="Tahoma"/>
        </w:rPr>
        <w:t xml:space="preserve"> </w:t>
      </w:r>
      <w:r w:rsidR="00BC7224" w:rsidRPr="5C0B10CB">
        <w:rPr>
          <w:rFonts w:ascii="Tahoma" w:hAnsi="Tahoma" w:cs="Tahoma"/>
        </w:rPr>
        <w:t xml:space="preserve">O </w:t>
      </w:r>
      <w:r w:rsidR="00FD28B8" w:rsidRPr="5C0B10CB">
        <w:rPr>
          <w:rFonts w:ascii="Tahoma" w:hAnsi="Tahoma" w:cs="Tahoma"/>
        </w:rPr>
        <w:t>CNPE por meio da resolução nº</w:t>
      </w:r>
      <w:r w:rsidR="00BC7224" w:rsidRPr="5C0B10CB">
        <w:rPr>
          <w:rFonts w:ascii="Tahoma" w:hAnsi="Tahoma" w:cs="Tahoma"/>
        </w:rPr>
        <w:t xml:space="preserve"> </w:t>
      </w:r>
      <w:r w:rsidR="00FD28B8" w:rsidRPr="5C0B10CB">
        <w:rPr>
          <w:rFonts w:ascii="Tahoma" w:hAnsi="Tahoma" w:cs="Tahoma"/>
        </w:rPr>
        <w:t>1 de 2025 instituiu o</w:t>
      </w:r>
      <w:r w:rsidR="00BC7224" w:rsidRPr="5C0B10CB">
        <w:rPr>
          <w:rFonts w:ascii="Tahoma" w:hAnsi="Tahoma" w:cs="Tahoma"/>
        </w:rPr>
        <w:t xml:space="preserve"> grupo de trabalho -</w:t>
      </w:r>
      <w:r w:rsidR="00FD28B8" w:rsidRPr="5C0B10CB">
        <w:rPr>
          <w:rFonts w:ascii="Tahoma" w:hAnsi="Tahoma" w:cs="Tahoma"/>
        </w:rPr>
        <w:t xml:space="preserve"> GT para estudar a diversificação de matérias-primas e a inclusão de agricultores familiares e pequenos produtores na produção de biocombustívei</w:t>
      </w:r>
      <w:r w:rsidR="00BC7224" w:rsidRPr="5C0B10CB">
        <w:rPr>
          <w:rFonts w:ascii="Tahoma" w:hAnsi="Tahoma" w:cs="Tahoma"/>
        </w:rPr>
        <w:t xml:space="preserve">s. </w:t>
      </w:r>
      <w:r w:rsidR="00A57AD8" w:rsidRPr="5C0B10CB">
        <w:rPr>
          <w:rFonts w:ascii="Tahoma" w:hAnsi="Tahoma" w:cs="Tahoma"/>
        </w:rPr>
        <w:t xml:space="preserve">Como entregáveis o grupo deve elaborar uma agenda de inovação para desenvolvimento matérias-primas, promover iniciativas de mapeamento e caracterização de matérias primas, elaboração de políticas públicas e programas para desenvolvimento de cadeias produtivas, entre outros objetivos. </w:t>
      </w:r>
      <w:r w:rsidR="00BC7224" w:rsidRPr="5C0B10CB">
        <w:rPr>
          <w:rFonts w:ascii="Tahoma" w:hAnsi="Tahoma" w:cs="Tahoma"/>
        </w:rPr>
        <w:t>O GT é composto por representantes dos seguintes órgãos:</w:t>
      </w:r>
    </w:p>
    <w:p w14:paraId="1F1B8BE1" w14:textId="69EFF6BB" w:rsidR="00CB77FD" w:rsidRDefault="00CB77FD" w:rsidP="005C71C6">
      <w:pPr>
        <w:pStyle w:val="PargrafodaLista"/>
        <w:numPr>
          <w:ilvl w:val="0"/>
          <w:numId w:val="20"/>
        </w:numPr>
        <w:spacing w:line="360" w:lineRule="auto"/>
        <w:jc w:val="both"/>
        <w:rPr>
          <w:rFonts w:ascii="Tahoma" w:hAnsi="Tahoma" w:cs="Tahoma"/>
        </w:rPr>
      </w:pPr>
      <w:r>
        <w:rPr>
          <w:rFonts w:ascii="Tahoma" w:hAnsi="Tahoma" w:cs="Tahoma"/>
        </w:rPr>
        <w:t>Ministério da Agricultura e Pecuária – Coordenação do GT;</w:t>
      </w:r>
    </w:p>
    <w:p w14:paraId="7ED1FB12" w14:textId="35D94F88" w:rsidR="00CB77FD" w:rsidRDefault="00CB77FD" w:rsidP="005C71C6">
      <w:pPr>
        <w:pStyle w:val="PargrafodaLista"/>
        <w:numPr>
          <w:ilvl w:val="0"/>
          <w:numId w:val="20"/>
        </w:numPr>
        <w:spacing w:line="360" w:lineRule="auto"/>
        <w:jc w:val="both"/>
        <w:rPr>
          <w:rFonts w:ascii="Tahoma" w:hAnsi="Tahoma" w:cs="Tahoma"/>
        </w:rPr>
      </w:pPr>
      <w:r>
        <w:rPr>
          <w:rFonts w:ascii="Tahoma" w:hAnsi="Tahoma" w:cs="Tahoma"/>
        </w:rPr>
        <w:t>Ministério de Minas e Energia;</w:t>
      </w:r>
    </w:p>
    <w:p w14:paraId="4372D2B4" w14:textId="100869AD" w:rsidR="00BC7224" w:rsidRDefault="00CB77FD" w:rsidP="005C71C6">
      <w:pPr>
        <w:pStyle w:val="PargrafodaLista"/>
        <w:numPr>
          <w:ilvl w:val="0"/>
          <w:numId w:val="20"/>
        </w:numPr>
        <w:spacing w:line="360" w:lineRule="auto"/>
        <w:jc w:val="both"/>
        <w:rPr>
          <w:rFonts w:ascii="Tahoma" w:hAnsi="Tahoma" w:cs="Tahoma"/>
        </w:rPr>
      </w:pPr>
      <w:r>
        <w:rPr>
          <w:rFonts w:ascii="Tahoma" w:hAnsi="Tahoma" w:cs="Tahoma"/>
        </w:rPr>
        <w:t>Ministério do Desenvolvimento Agrário e Agricultura Familiar;</w:t>
      </w:r>
    </w:p>
    <w:p w14:paraId="45A33EB0" w14:textId="77777777" w:rsidR="00CB77FD" w:rsidRDefault="00CB77FD" w:rsidP="005C71C6">
      <w:pPr>
        <w:pStyle w:val="PargrafodaLista"/>
        <w:numPr>
          <w:ilvl w:val="0"/>
          <w:numId w:val="20"/>
        </w:numPr>
        <w:spacing w:line="360" w:lineRule="auto"/>
        <w:jc w:val="both"/>
        <w:rPr>
          <w:rFonts w:ascii="Tahoma" w:hAnsi="Tahoma" w:cs="Tahoma"/>
        </w:rPr>
      </w:pPr>
      <w:r>
        <w:rPr>
          <w:rFonts w:ascii="Tahoma" w:hAnsi="Tahoma" w:cs="Tahoma"/>
        </w:rPr>
        <w:t>Ministério da Ciência, Tecnologia e Inovação;</w:t>
      </w:r>
    </w:p>
    <w:p w14:paraId="7AE6797B" w14:textId="0DFE2437" w:rsidR="00CB77FD" w:rsidRDefault="00CB77FD" w:rsidP="005C71C6">
      <w:pPr>
        <w:pStyle w:val="PargrafodaLista"/>
        <w:numPr>
          <w:ilvl w:val="0"/>
          <w:numId w:val="20"/>
        </w:numPr>
        <w:spacing w:line="360" w:lineRule="auto"/>
        <w:jc w:val="both"/>
        <w:rPr>
          <w:rFonts w:ascii="Tahoma" w:hAnsi="Tahoma" w:cs="Tahoma"/>
        </w:rPr>
      </w:pPr>
      <w:r>
        <w:rPr>
          <w:rFonts w:ascii="Tahoma" w:hAnsi="Tahoma" w:cs="Tahoma"/>
        </w:rPr>
        <w:t>Ministério do Desenvolvimento, Indústria, Comércio e Serviços;</w:t>
      </w:r>
    </w:p>
    <w:p w14:paraId="343FB764" w14:textId="77777777" w:rsidR="00CB77FD" w:rsidRDefault="00CB77FD" w:rsidP="005C71C6">
      <w:pPr>
        <w:pStyle w:val="PargrafodaLista"/>
        <w:numPr>
          <w:ilvl w:val="0"/>
          <w:numId w:val="20"/>
        </w:numPr>
        <w:spacing w:line="360" w:lineRule="auto"/>
        <w:jc w:val="both"/>
        <w:rPr>
          <w:rFonts w:ascii="Tahoma" w:hAnsi="Tahoma" w:cs="Tahoma"/>
        </w:rPr>
      </w:pPr>
      <w:r>
        <w:rPr>
          <w:rFonts w:ascii="Tahoma" w:hAnsi="Tahoma" w:cs="Tahoma"/>
        </w:rPr>
        <w:t>Ministério do Meio Ambiente e Mudança do Clima;</w:t>
      </w:r>
    </w:p>
    <w:p w14:paraId="08A3344A" w14:textId="77777777" w:rsidR="00CB77FD" w:rsidRDefault="00CB77FD" w:rsidP="005C71C6">
      <w:pPr>
        <w:pStyle w:val="PargrafodaLista"/>
        <w:numPr>
          <w:ilvl w:val="0"/>
          <w:numId w:val="20"/>
        </w:numPr>
        <w:spacing w:line="360" w:lineRule="auto"/>
        <w:jc w:val="both"/>
        <w:rPr>
          <w:rFonts w:ascii="Tahoma" w:hAnsi="Tahoma" w:cs="Tahoma"/>
        </w:rPr>
      </w:pPr>
      <w:r>
        <w:rPr>
          <w:rFonts w:ascii="Tahoma" w:hAnsi="Tahoma" w:cs="Tahoma"/>
        </w:rPr>
        <w:t xml:space="preserve">Empresa de Pesquisa Energética – EPE; e </w:t>
      </w:r>
    </w:p>
    <w:p w14:paraId="56E109E9" w14:textId="6EE70DFD" w:rsidR="00A57AD8" w:rsidRPr="00A57AD8" w:rsidRDefault="00CB77FD" w:rsidP="005C71C6">
      <w:pPr>
        <w:pStyle w:val="PargrafodaLista"/>
        <w:numPr>
          <w:ilvl w:val="0"/>
          <w:numId w:val="20"/>
        </w:numPr>
        <w:spacing w:line="360" w:lineRule="auto"/>
        <w:jc w:val="both"/>
        <w:rPr>
          <w:rFonts w:ascii="Tahoma" w:hAnsi="Tahoma" w:cs="Tahoma"/>
        </w:rPr>
      </w:pPr>
      <w:r>
        <w:rPr>
          <w:rFonts w:ascii="Tahoma" w:hAnsi="Tahoma" w:cs="Tahoma"/>
        </w:rPr>
        <w:t>Empresa Brasileira de Pesquisa Agropecuária – Embrapa.</w:t>
      </w:r>
    </w:p>
    <w:p w14:paraId="58BAC3F3" w14:textId="4BD4C8FC" w:rsidR="004F7C01" w:rsidRDefault="00780512" w:rsidP="005C71C6">
      <w:pPr>
        <w:pStyle w:val="PargrafodaLista"/>
        <w:spacing w:before="240" w:after="240" w:line="360" w:lineRule="auto"/>
        <w:ind w:left="284" w:firstLine="226"/>
        <w:jc w:val="both"/>
        <w:rPr>
          <w:rFonts w:ascii="Tahoma" w:hAnsi="Tahoma" w:cs="Tahoma"/>
        </w:rPr>
      </w:pPr>
      <w:r w:rsidRPr="5C0B10CB">
        <w:rPr>
          <w:rFonts w:ascii="Tahoma" w:hAnsi="Tahoma" w:cs="Tahoma"/>
        </w:rPr>
        <w:t xml:space="preserve">Além de promover a </w:t>
      </w:r>
      <w:r w:rsidR="00A57AD8" w:rsidRPr="5C0B10CB">
        <w:rPr>
          <w:rFonts w:ascii="Tahoma" w:hAnsi="Tahoma" w:cs="Tahoma"/>
        </w:rPr>
        <w:t>diversificação de matérias-primas agrícolas</w:t>
      </w:r>
      <w:r w:rsidR="0072375E" w:rsidRPr="5C0B10CB">
        <w:rPr>
          <w:rFonts w:ascii="Tahoma" w:hAnsi="Tahoma" w:cs="Tahoma"/>
        </w:rPr>
        <w:t>, há esforços do programa para o</w:t>
      </w:r>
      <w:r w:rsidR="00A57AD8" w:rsidRPr="5C0B10CB">
        <w:rPr>
          <w:rFonts w:ascii="Tahoma" w:hAnsi="Tahoma" w:cs="Tahoma"/>
        </w:rPr>
        <w:t xml:space="preserve"> estímulo </w:t>
      </w:r>
      <w:r w:rsidR="78EC12FD" w:rsidRPr="5C0B10CB">
        <w:rPr>
          <w:rFonts w:ascii="Tahoma" w:hAnsi="Tahoma" w:cs="Tahoma"/>
        </w:rPr>
        <w:t>à</w:t>
      </w:r>
      <w:r w:rsidR="00A57AD8" w:rsidRPr="5C0B10CB">
        <w:rPr>
          <w:rFonts w:ascii="Tahoma" w:hAnsi="Tahoma" w:cs="Tahoma"/>
        </w:rPr>
        <w:t xml:space="preserve"> economia circular e redução de impactos ambientais. O</w:t>
      </w:r>
      <w:r w:rsidRPr="5C0B10CB">
        <w:rPr>
          <w:rFonts w:ascii="Tahoma" w:hAnsi="Tahoma" w:cs="Tahoma"/>
        </w:rPr>
        <w:t xml:space="preserve"> PNPB incentiva o aproveitamento de óleos e gorduras residuais por meio da resolução CNPE nº 13 de 10 de dezembro de 2024 que fixa valores mínimos de consumo destes resíduos para a fabricação do biocombustível. Essa medida amplia a oferta de matérias primas de baixo carbono, auxilia na redução dos níveis de contaminantes nos recursos hídricos e na redução do custo de saneamento, em especial no tratamento de esgoto.</w:t>
      </w:r>
    </w:p>
    <w:p w14:paraId="60AF948F" w14:textId="76DFEE3F" w:rsidR="0072375E" w:rsidRPr="0072375E" w:rsidRDefault="0072375E" w:rsidP="0072375E">
      <w:pPr>
        <w:pStyle w:val="Ttulo1"/>
        <w:keepLines w:val="0"/>
        <w:numPr>
          <w:ilvl w:val="1"/>
          <w:numId w:val="1"/>
        </w:numPr>
        <w:spacing w:before="400" w:after="200"/>
        <w:rPr>
          <w:rFonts w:eastAsia="Times New Roman" w:cs="Arial"/>
          <w:kern w:val="32"/>
          <w:sz w:val="26"/>
          <w:szCs w:val="32"/>
        </w:rPr>
      </w:pPr>
      <w:r>
        <w:rPr>
          <w:rFonts w:eastAsia="Times New Roman" w:cs="Arial"/>
          <w:kern w:val="32"/>
          <w:sz w:val="26"/>
          <w:szCs w:val="32"/>
        </w:rPr>
        <w:lastRenderedPageBreak/>
        <w:t>2</w:t>
      </w:r>
      <w:r w:rsidR="00AE3779">
        <w:rPr>
          <w:rFonts w:eastAsia="Times New Roman" w:cs="Arial"/>
          <w:kern w:val="32"/>
          <w:sz w:val="26"/>
          <w:szCs w:val="32"/>
        </w:rPr>
        <w:t>1</w:t>
      </w:r>
      <w:r>
        <w:rPr>
          <w:rFonts w:eastAsia="Times New Roman" w:cs="Arial"/>
          <w:kern w:val="32"/>
          <w:sz w:val="26"/>
          <w:szCs w:val="32"/>
        </w:rPr>
        <w:t xml:space="preserve"> anos de PNPB e </w:t>
      </w:r>
      <w:commentRangeStart w:id="2"/>
      <w:r>
        <w:rPr>
          <w:rFonts w:eastAsia="Times New Roman" w:cs="Arial"/>
          <w:kern w:val="32"/>
          <w:sz w:val="26"/>
          <w:szCs w:val="32"/>
        </w:rPr>
        <w:t>atuação da EPE</w:t>
      </w:r>
      <w:commentRangeEnd w:id="2"/>
      <w:r w:rsidR="009B45D1" w:rsidRPr="0072375E">
        <w:rPr>
          <w:rStyle w:val="Refdecomentrio"/>
          <w:rFonts w:eastAsia="Times New Roman" w:cs="Arial"/>
          <w:kern w:val="32"/>
          <w:sz w:val="26"/>
          <w:szCs w:val="32"/>
        </w:rPr>
        <w:commentReference w:id="2"/>
      </w:r>
    </w:p>
    <w:p w14:paraId="7509624B" w14:textId="1578A3AC" w:rsidR="0072375E" w:rsidRDefault="00CE2CA7" w:rsidP="005C71C6">
      <w:pPr>
        <w:pStyle w:val="PargrafodaLista"/>
        <w:keepLines/>
        <w:spacing w:before="240" w:after="240" w:line="360" w:lineRule="auto"/>
        <w:ind w:left="284" w:firstLine="227"/>
        <w:jc w:val="both"/>
        <w:rPr>
          <w:rFonts w:ascii="Tahoma" w:hAnsi="Tahoma" w:cs="Tahoma"/>
        </w:rPr>
      </w:pPr>
      <w:r w:rsidRPr="5C0B10CB">
        <w:rPr>
          <w:rFonts w:ascii="Tahoma" w:hAnsi="Tahoma" w:cs="Tahoma"/>
        </w:rPr>
        <w:t>O PNPB completou 2</w:t>
      </w:r>
      <w:r w:rsidR="00AE3779">
        <w:rPr>
          <w:rFonts w:ascii="Tahoma" w:hAnsi="Tahoma" w:cs="Tahoma"/>
        </w:rPr>
        <w:t>1</w:t>
      </w:r>
      <w:r w:rsidRPr="5C0B10CB">
        <w:rPr>
          <w:rFonts w:ascii="Tahoma" w:hAnsi="Tahoma" w:cs="Tahoma"/>
        </w:rPr>
        <w:t xml:space="preserve"> anos em 202</w:t>
      </w:r>
      <w:r w:rsidR="00AE3779">
        <w:rPr>
          <w:rFonts w:ascii="Tahoma" w:hAnsi="Tahoma" w:cs="Tahoma"/>
        </w:rPr>
        <w:t>6</w:t>
      </w:r>
      <w:r w:rsidRPr="5C0B10CB">
        <w:rPr>
          <w:rFonts w:ascii="Tahoma" w:hAnsi="Tahoma" w:cs="Tahoma"/>
        </w:rPr>
        <w:t xml:space="preserve"> </w:t>
      </w:r>
      <w:r>
        <w:rPr>
          <w:rFonts w:ascii="Tahoma" w:hAnsi="Tahoma" w:cs="Tahoma"/>
        </w:rPr>
        <w:t xml:space="preserve">e, durante este tempo, </w:t>
      </w:r>
      <w:r w:rsidR="0072375E" w:rsidRPr="5C0B10CB">
        <w:rPr>
          <w:rFonts w:ascii="Tahoma" w:hAnsi="Tahoma" w:cs="Tahoma"/>
        </w:rPr>
        <w:t>a EPE acompanhou a cadeia de biodiesel</w:t>
      </w:r>
      <w:r w:rsidR="00395B0C">
        <w:rPr>
          <w:rFonts w:ascii="Tahoma" w:hAnsi="Tahoma" w:cs="Tahoma"/>
        </w:rPr>
        <w:t xml:space="preserve"> participando de </w:t>
      </w:r>
      <w:r w:rsidR="00CE0393">
        <w:rPr>
          <w:rFonts w:ascii="Tahoma" w:hAnsi="Tahoma" w:cs="Tahoma"/>
        </w:rPr>
        <w:t>inúmeros</w:t>
      </w:r>
      <w:r w:rsidR="00395B0C">
        <w:rPr>
          <w:rFonts w:ascii="Tahoma" w:hAnsi="Tahoma" w:cs="Tahoma"/>
        </w:rPr>
        <w:t xml:space="preserve"> grupos de trabalho </w:t>
      </w:r>
      <w:r w:rsidR="0083275A">
        <w:rPr>
          <w:rFonts w:ascii="Tahoma" w:hAnsi="Tahoma" w:cs="Tahoma"/>
        </w:rPr>
        <w:t>relacionados ao tema e</w:t>
      </w:r>
      <w:r w:rsidR="0072375E" w:rsidRPr="5C0B10CB">
        <w:rPr>
          <w:rFonts w:ascii="Tahoma" w:hAnsi="Tahoma" w:cs="Tahoma"/>
        </w:rPr>
        <w:t xml:space="preserve"> com </w:t>
      </w:r>
      <w:r w:rsidR="005E4218" w:rsidRPr="5C0B10CB">
        <w:rPr>
          <w:rFonts w:ascii="Tahoma" w:hAnsi="Tahoma" w:cs="Tahoma"/>
        </w:rPr>
        <w:t xml:space="preserve">diversos </w:t>
      </w:r>
      <w:r w:rsidR="0072375E" w:rsidRPr="5C0B10CB">
        <w:rPr>
          <w:rFonts w:ascii="Tahoma" w:hAnsi="Tahoma" w:cs="Tahoma"/>
        </w:rPr>
        <w:t xml:space="preserve">estudos </w:t>
      </w:r>
      <w:r w:rsidR="00A761BF" w:rsidRPr="5C0B10CB">
        <w:rPr>
          <w:rFonts w:ascii="Tahoma" w:hAnsi="Tahoma" w:cs="Tahoma"/>
        </w:rPr>
        <w:t>avaliando a oferta e demanda do biocombustível</w:t>
      </w:r>
      <w:r w:rsidR="005E4218" w:rsidRPr="5C0B10CB">
        <w:rPr>
          <w:rFonts w:ascii="Tahoma" w:hAnsi="Tahoma" w:cs="Tahoma"/>
        </w:rPr>
        <w:t xml:space="preserve">. O principal veículo de divulgação destes é o produto </w:t>
      </w:r>
      <w:hyperlink r:id="rId15">
        <w:r w:rsidR="005E4218" w:rsidRPr="5C0B10CB">
          <w:rPr>
            <w:rStyle w:val="Hyperlink"/>
            <w:rFonts w:ascii="Tahoma" w:hAnsi="Tahoma" w:cs="Tahoma"/>
          </w:rPr>
          <w:t>Análise de Conjuntura de Biocombustíveis</w:t>
        </w:r>
      </w:hyperlink>
      <w:r w:rsidR="005E4218" w:rsidRPr="5C0B10CB">
        <w:rPr>
          <w:rFonts w:ascii="Tahoma" w:hAnsi="Tahoma" w:cs="Tahoma"/>
        </w:rPr>
        <w:t xml:space="preserve"> que</w:t>
      </w:r>
      <w:r w:rsidR="000F3D26">
        <w:rPr>
          <w:rFonts w:ascii="Tahoma" w:hAnsi="Tahoma" w:cs="Tahoma"/>
        </w:rPr>
        <w:t>,</w:t>
      </w:r>
      <w:r w:rsidR="005E4218" w:rsidRPr="5C0B10CB">
        <w:rPr>
          <w:rFonts w:ascii="Tahoma" w:hAnsi="Tahoma" w:cs="Tahoma"/>
        </w:rPr>
        <w:t xml:space="preserve"> desde 200</w:t>
      </w:r>
      <w:r w:rsidR="12BDE290" w:rsidRPr="5C0B10CB">
        <w:rPr>
          <w:rFonts w:ascii="Tahoma" w:hAnsi="Tahoma" w:cs="Tahoma"/>
        </w:rPr>
        <w:t>9</w:t>
      </w:r>
      <w:r w:rsidR="000F3D26">
        <w:rPr>
          <w:rFonts w:ascii="Tahoma" w:hAnsi="Tahoma" w:cs="Tahoma"/>
        </w:rPr>
        <w:t>,</w:t>
      </w:r>
      <w:r w:rsidR="005E4218" w:rsidRPr="5C0B10CB">
        <w:rPr>
          <w:rFonts w:ascii="Tahoma" w:hAnsi="Tahoma" w:cs="Tahoma"/>
        </w:rPr>
        <w:t xml:space="preserve"> fornece dados informativos estratégicos sobre a cadeia produtiva e panorama comercial do biodiesel</w:t>
      </w:r>
      <w:r w:rsidR="008A0D6C" w:rsidRPr="5C0B10CB">
        <w:rPr>
          <w:rFonts w:ascii="Tahoma" w:hAnsi="Tahoma" w:cs="Tahoma"/>
        </w:rPr>
        <w:t>. Há também estudos</w:t>
      </w:r>
      <w:r w:rsidR="0080119E" w:rsidRPr="5C0B10CB">
        <w:rPr>
          <w:rFonts w:ascii="Tahoma" w:hAnsi="Tahoma" w:cs="Tahoma"/>
        </w:rPr>
        <w:t xml:space="preserve"> como a nota técnica </w:t>
      </w:r>
      <w:hyperlink r:id="rId16">
        <w:r w:rsidR="0080119E" w:rsidRPr="5C0B10CB">
          <w:rPr>
            <w:rStyle w:val="Hyperlink"/>
            <w:rFonts w:ascii="Tahoma" w:hAnsi="Tahoma" w:cs="Tahoma"/>
          </w:rPr>
          <w:t>Investimentos e Custos Operacionais e de Manutenção no Setor de Biocombustíveis</w:t>
        </w:r>
      </w:hyperlink>
      <w:r w:rsidR="00562E76" w:rsidRPr="5C0B10CB">
        <w:rPr>
          <w:rFonts w:ascii="Tahoma" w:hAnsi="Tahoma" w:cs="Tahoma"/>
        </w:rPr>
        <w:t xml:space="preserve"> </w:t>
      </w:r>
      <w:r w:rsidR="008A0D6C" w:rsidRPr="5C0B10CB">
        <w:rPr>
          <w:rFonts w:ascii="Tahoma" w:hAnsi="Tahoma" w:cs="Tahoma"/>
        </w:rPr>
        <w:t>que apresentam a estimativa de investimentos e expansão da capacidade produtiva, dimensionando o custo total de expansão e operação dessas plantas em um horizonte de 10 anos</w:t>
      </w:r>
      <w:r w:rsidR="0080119E" w:rsidRPr="5C0B10CB">
        <w:rPr>
          <w:rFonts w:ascii="Tahoma" w:hAnsi="Tahoma" w:cs="Tahoma"/>
        </w:rPr>
        <w:t>.</w:t>
      </w:r>
    </w:p>
    <w:p w14:paraId="0F5B8797" w14:textId="20F1ADCA" w:rsidR="0080119E" w:rsidRDefault="0080119E" w:rsidP="005C71C6">
      <w:pPr>
        <w:pStyle w:val="PargrafodaLista"/>
        <w:spacing w:before="240" w:after="240" w:line="360" w:lineRule="auto"/>
        <w:ind w:left="284" w:firstLine="227"/>
        <w:jc w:val="both"/>
        <w:rPr>
          <w:rFonts w:ascii="Tahoma" w:hAnsi="Tahoma" w:cs="Tahoma"/>
        </w:rPr>
      </w:pPr>
      <w:r>
        <w:rPr>
          <w:rFonts w:ascii="Tahoma" w:hAnsi="Tahoma" w:cs="Tahoma"/>
        </w:rPr>
        <w:t>A</w:t>
      </w:r>
      <w:r w:rsidR="0002732D">
        <w:rPr>
          <w:rFonts w:ascii="Tahoma" w:hAnsi="Tahoma" w:cs="Tahoma"/>
        </w:rPr>
        <w:t>lém dos produtos periódicos</w:t>
      </w:r>
      <w:r w:rsidR="000F3D26">
        <w:rPr>
          <w:rFonts w:ascii="Tahoma" w:hAnsi="Tahoma" w:cs="Tahoma"/>
        </w:rPr>
        <w:t>,</w:t>
      </w:r>
      <w:r w:rsidR="0002732D">
        <w:rPr>
          <w:rFonts w:ascii="Tahoma" w:hAnsi="Tahoma" w:cs="Tahoma"/>
        </w:rPr>
        <w:t xml:space="preserve"> a EPE</w:t>
      </w:r>
      <w:r w:rsidR="000F3D26">
        <w:rPr>
          <w:rFonts w:ascii="Tahoma" w:hAnsi="Tahoma" w:cs="Tahoma"/>
        </w:rPr>
        <w:t>,</w:t>
      </w:r>
      <w:r w:rsidR="00CA65DE">
        <w:rPr>
          <w:rFonts w:ascii="Tahoma" w:hAnsi="Tahoma" w:cs="Tahoma"/>
        </w:rPr>
        <w:t xml:space="preserve"> no ano de 2021</w:t>
      </w:r>
      <w:r w:rsidR="000F3D26">
        <w:rPr>
          <w:rFonts w:ascii="Tahoma" w:hAnsi="Tahoma" w:cs="Tahoma"/>
        </w:rPr>
        <w:t>,</w:t>
      </w:r>
      <w:r w:rsidR="00CA65DE">
        <w:rPr>
          <w:rFonts w:ascii="Tahoma" w:hAnsi="Tahoma" w:cs="Tahoma"/>
        </w:rPr>
        <w:t xml:space="preserve"> publicou a nota técnica </w:t>
      </w:r>
      <w:hyperlink r:id="rId17" w:history="1">
        <w:r w:rsidR="00CA65DE" w:rsidRPr="00B96B89">
          <w:rPr>
            <w:rStyle w:val="Hyperlink"/>
            <w:rFonts w:ascii="Tahoma" w:hAnsi="Tahoma" w:cs="Tahoma"/>
          </w:rPr>
          <w:t>Impacto na saúde humana pelo uso de biocombustíveis na Região Metropolitan</w:t>
        </w:r>
        <w:r w:rsidR="007868DF" w:rsidRPr="00B96B89">
          <w:rPr>
            <w:rStyle w:val="Hyperlink"/>
            <w:rFonts w:ascii="Tahoma" w:hAnsi="Tahoma" w:cs="Tahoma"/>
          </w:rPr>
          <w:t>a</w:t>
        </w:r>
        <w:r w:rsidR="00CA65DE" w:rsidRPr="00B96B89">
          <w:rPr>
            <w:rStyle w:val="Hyperlink"/>
            <w:rFonts w:ascii="Tahoma" w:hAnsi="Tahoma" w:cs="Tahoma"/>
          </w:rPr>
          <w:t xml:space="preserve"> de São Paulo</w:t>
        </w:r>
      </w:hyperlink>
      <w:r w:rsidR="00CA65DE">
        <w:rPr>
          <w:rFonts w:ascii="Tahoma" w:hAnsi="Tahoma" w:cs="Tahoma"/>
        </w:rPr>
        <w:t xml:space="preserve"> em que avalia os diferentes cenários de uso de biocombus</w:t>
      </w:r>
      <w:r w:rsidR="007868DF">
        <w:rPr>
          <w:rFonts w:ascii="Tahoma" w:hAnsi="Tahoma" w:cs="Tahoma"/>
        </w:rPr>
        <w:t>tíveis incluindo o</w:t>
      </w:r>
      <w:r w:rsidR="00CA65DE">
        <w:rPr>
          <w:rFonts w:ascii="Tahoma" w:hAnsi="Tahoma" w:cs="Tahoma"/>
        </w:rPr>
        <w:t xml:space="preserve"> Biodiesel e como estes podem trazer benefícios a saúde das populações. </w:t>
      </w:r>
      <w:r w:rsidR="00CA65DE" w:rsidRPr="00CA65DE">
        <w:rPr>
          <w:rFonts w:ascii="Tahoma" w:hAnsi="Tahoma" w:cs="Tahoma"/>
        </w:rPr>
        <w:t>N</w:t>
      </w:r>
      <w:r w:rsidR="0002732D" w:rsidRPr="00CA65DE">
        <w:rPr>
          <w:rFonts w:ascii="Tahoma" w:hAnsi="Tahoma" w:cs="Tahoma"/>
        </w:rPr>
        <w:t xml:space="preserve">o ano de 2025 publicou o factsheet </w:t>
      </w:r>
      <w:hyperlink r:id="rId18" w:history="1">
        <w:r w:rsidR="0002732D" w:rsidRPr="00562E76">
          <w:rPr>
            <w:rStyle w:val="Hyperlink"/>
            <w:rFonts w:ascii="Tahoma" w:hAnsi="Tahoma" w:cs="Tahoma"/>
          </w:rPr>
          <w:t>Agricultura Familiar, PNPB e Agenda 2030: Um Compromisso com o Futuro Sustentável</w:t>
        </w:r>
      </w:hyperlink>
      <w:r w:rsidR="0002732D" w:rsidRPr="00CA65DE">
        <w:rPr>
          <w:rFonts w:ascii="Tahoma" w:hAnsi="Tahoma" w:cs="Tahoma"/>
        </w:rPr>
        <w:t xml:space="preserve"> em que sintetiza </w:t>
      </w:r>
      <w:r w:rsidR="00C94F5A" w:rsidRPr="00CA65DE">
        <w:rPr>
          <w:rFonts w:ascii="Tahoma" w:hAnsi="Tahoma" w:cs="Tahoma"/>
        </w:rPr>
        <w:t xml:space="preserve">a importância da agricultura familiar e como a integração com o PNPB se </w:t>
      </w:r>
      <w:r w:rsidR="004F78D2" w:rsidRPr="00CA65DE">
        <w:rPr>
          <w:rFonts w:ascii="Tahoma" w:hAnsi="Tahoma" w:cs="Tahoma"/>
        </w:rPr>
        <w:t>tornou</w:t>
      </w:r>
      <w:r w:rsidR="00C94F5A" w:rsidRPr="00CA65DE">
        <w:rPr>
          <w:rFonts w:ascii="Tahoma" w:hAnsi="Tahoma" w:cs="Tahoma"/>
        </w:rPr>
        <w:t xml:space="preserve"> uma eficaz política pública para o setor energético </w:t>
      </w:r>
      <w:r w:rsidR="007868DF">
        <w:rPr>
          <w:rFonts w:ascii="Tahoma" w:hAnsi="Tahoma" w:cs="Tahoma"/>
        </w:rPr>
        <w:t>que</w:t>
      </w:r>
      <w:r w:rsidR="00C94F5A" w:rsidRPr="00CA65DE">
        <w:rPr>
          <w:rFonts w:ascii="Tahoma" w:hAnsi="Tahoma" w:cs="Tahoma"/>
        </w:rPr>
        <w:t xml:space="preserve"> também </w:t>
      </w:r>
      <w:r w:rsidR="007868DF">
        <w:rPr>
          <w:rFonts w:ascii="Tahoma" w:hAnsi="Tahoma" w:cs="Tahoma"/>
        </w:rPr>
        <w:t>gerou</w:t>
      </w:r>
      <w:r w:rsidR="00C94F5A" w:rsidRPr="00CA65DE">
        <w:rPr>
          <w:rFonts w:ascii="Tahoma" w:hAnsi="Tahoma" w:cs="Tahoma"/>
        </w:rPr>
        <w:t xml:space="preserve"> resultados socioeconômicos positivos</w:t>
      </w:r>
      <w:r w:rsidR="004F78D2" w:rsidRPr="00CA65DE">
        <w:rPr>
          <w:rFonts w:ascii="Tahoma" w:hAnsi="Tahoma" w:cs="Tahoma"/>
        </w:rPr>
        <w:t xml:space="preserve">. </w:t>
      </w:r>
    </w:p>
    <w:p w14:paraId="5E0E1C5E" w14:textId="2926A99E" w:rsidR="005857EE" w:rsidRDefault="005857EE" w:rsidP="005C71C6">
      <w:pPr>
        <w:pStyle w:val="PargrafodaLista"/>
        <w:spacing w:before="240" w:after="240" w:line="360" w:lineRule="auto"/>
        <w:ind w:left="284" w:firstLine="227"/>
        <w:jc w:val="both"/>
        <w:rPr>
          <w:rFonts w:ascii="Tahoma" w:hAnsi="Tahoma" w:cs="Tahoma"/>
        </w:rPr>
      </w:pPr>
      <w:r>
        <w:rPr>
          <w:rFonts w:ascii="Tahoma" w:hAnsi="Tahoma" w:cs="Tahoma"/>
        </w:rPr>
        <w:t>Adicionalmente</w:t>
      </w:r>
      <w:r w:rsidR="00DF107F">
        <w:rPr>
          <w:rFonts w:ascii="Tahoma" w:hAnsi="Tahoma" w:cs="Tahoma"/>
        </w:rPr>
        <w:t>,</w:t>
      </w:r>
      <w:r>
        <w:rPr>
          <w:rFonts w:ascii="Tahoma" w:hAnsi="Tahoma" w:cs="Tahoma"/>
        </w:rPr>
        <w:t xml:space="preserve"> vale destacar a participação da EPE em reduzir a assimetria de informações na vanguarda da tecnologia em biocombustíveis, a exemplo disso pode-se citar a nota técnica </w:t>
      </w:r>
      <w:hyperlink r:id="rId19" w:history="1">
        <w:r w:rsidRPr="00562E76">
          <w:rPr>
            <w:rStyle w:val="Hyperlink"/>
            <w:rFonts w:ascii="Tahoma" w:hAnsi="Tahoma" w:cs="Tahoma"/>
          </w:rPr>
          <w:t>Combustíveis renováveis para uso em motores do ciclo Diesel</w:t>
        </w:r>
      </w:hyperlink>
      <w:r w:rsidR="00562E76">
        <w:rPr>
          <w:rFonts w:ascii="Tahoma" w:hAnsi="Tahoma" w:cs="Tahoma"/>
          <w:b/>
          <w:bCs/>
        </w:rPr>
        <w:t xml:space="preserve"> </w:t>
      </w:r>
      <w:r w:rsidR="0045357A" w:rsidRPr="0045357A">
        <w:rPr>
          <w:rFonts w:ascii="Tahoma" w:hAnsi="Tahoma" w:cs="Tahoma"/>
        </w:rPr>
        <w:t>publicada em 2020</w:t>
      </w:r>
      <w:r>
        <w:rPr>
          <w:rFonts w:ascii="Tahoma" w:hAnsi="Tahoma" w:cs="Tahoma"/>
        </w:rPr>
        <w:t xml:space="preserve"> que delimitou as diferenças entre biodiesel </w:t>
      </w:r>
      <w:r w:rsidR="0045357A">
        <w:rPr>
          <w:rFonts w:ascii="Tahoma" w:hAnsi="Tahoma" w:cs="Tahoma"/>
        </w:rPr>
        <w:t>de base éster e de base de hidrocarbonetos parafínicos indicando a necessidade de mais estudos sobre este novo tipo de combustível. Por fim</w:t>
      </w:r>
      <w:r w:rsidR="00811CFB">
        <w:rPr>
          <w:rFonts w:ascii="Tahoma" w:hAnsi="Tahoma" w:cs="Tahoma"/>
        </w:rPr>
        <w:t>,</w:t>
      </w:r>
      <w:r w:rsidR="0045357A">
        <w:rPr>
          <w:rFonts w:ascii="Tahoma" w:hAnsi="Tahoma" w:cs="Tahoma"/>
        </w:rPr>
        <w:t xml:space="preserve"> em 2025 a EPE </w:t>
      </w:r>
      <w:r w:rsidR="00EF7444">
        <w:rPr>
          <w:rFonts w:ascii="Tahoma" w:hAnsi="Tahoma" w:cs="Tahoma"/>
        </w:rPr>
        <w:t xml:space="preserve">publicou a nota técnica </w:t>
      </w:r>
      <w:hyperlink r:id="rId20" w:history="1">
        <w:r w:rsidR="00EF7444" w:rsidRPr="00562E76">
          <w:rPr>
            <w:rStyle w:val="Hyperlink"/>
            <w:rFonts w:ascii="Tahoma" w:hAnsi="Tahoma" w:cs="Tahoma"/>
          </w:rPr>
          <w:t>Densidade Energética B7 de referência</w:t>
        </w:r>
      </w:hyperlink>
      <w:r w:rsidR="00EF7444">
        <w:rPr>
          <w:rFonts w:ascii="Tahoma" w:hAnsi="Tahoma" w:cs="Tahoma"/>
          <w:b/>
          <w:bCs/>
        </w:rPr>
        <w:t xml:space="preserve"> </w:t>
      </w:r>
      <w:r w:rsidR="00EF7444">
        <w:rPr>
          <w:rFonts w:ascii="Tahoma" w:hAnsi="Tahoma" w:cs="Tahoma"/>
        </w:rPr>
        <w:t>um estudo conduzido em parceria com instituições nacionais que apresenta valores de densidade energética para o diesel B7 de referência. Possibilitando assim que este valor seja utilizado para homologação de veículos e contribuindo para harmonização dos parâmetros de densidade energética entre programas governamentais como RenovaBio, Mover e PBEV.</w:t>
      </w:r>
    </w:p>
    <w:p w14:paraId="23438855" w14:textId="65BC8A27" w:rsidR="00F16C89" w:rsidRDefault="00B96B89" w:rsidP="005C71C6">
      <w:pPr>
        <w:pStyle w:val="PargrafodaLista"/>
        <w:spacing w:before="240" w:after="240" w:line="360" w:lineRule="auto"/>
        <w:ind w:left="284" w:firstLine="227"/>
        <w:jc w:val="both"/>
        <w:rPr>
          <w:rFonts w:ascii="Tahoma" w:hAnsi="Tahoma" w:cs="Tahoma"/>
        </w:rPr>
      </w:pPr>
      <w:r w:rsidRPr="00B96B89">
        <w:rPr>
          <w:rFonts w:ascii="Tahoma" w:hAnsi="Tahoma" w:cs="Tahoma"/>
        </w:rPr>
        <w:t>Em síntese, o PNPB tornou-se uma política central para o avanço dos biocombustíveis no país, promovendo desenvolvimento produtivo, socioeconômico e ambiental ao longo de duas décadas. A atuação contínua da EPE tem contribuído para qualificar análises, orientar decisões e ampliar a transparência sobre o setor, reforçando seu papel no suporte técnico à formulação de políticas públicas. A continuidade desse esforço permanece essencial para o aperfeiçoamento do programa e para a expansão sustentável do biodiesel no Brasil.</w:t>
      </w:r>
    </w:p>
    <w:p w14:paraId="7B4E4AEB" w14:textId="5374505D" w:rsidR="00B33E46" w:rsidRPr="00B33E46" w:rsidRDefault="00690FAA" w:rsidP="00B33E46">
      <w:pPr>
        <w:pStyle w:val="Ttulo1"/>
        <w:keepLines w:val="0"/>
        <w:spacing w:before="400" w:after="200"/>
        <w:ind w:left="510" w:hanging="510"/>
        <w:rPr>
          <w:rFonts w:eastAsia="Times New Roman" w:cs="Arial"/>
          <w:kern w:val="32"/>
          <w:sz w:val="26"/>
          <w:szCs w:val="32"/>
        </w:rPr>
      </w:pPr>
      <w:r>
        <w:rPr>
          <w:rFonts w:eastAsia="Times New Roman" w:cs="Arial"/>
          <w:kern w:val="32"/>
          <w:sz w:val="26"/>
          <w:szCs w:val="32"/>
        </w:rPr>
        <w:lastRenderedPageBreak/>
        <w:t>Referências</w:t>
      </w:r>
    </w:p>
    <w:p w14:paraId="1258EE73" w14:textId="63D22262"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ATABANI, A. E. et al. </w:t>
      </w:r>
      <w:r w:rsidRPr="005C71C6">
        <w:rPr>
          <w:rFonts w:ascii="Tahoma" w:eastAsia="Calibri" w:hAnsi="Tahoma" w:cs="Tahoma"/>
          <w:b/>
          <w:bCs/>
          <w:sz w:val="18"/>
          <w:szCs w:val="18"/>
          <w:lang w:val="en-US"/>
        </w:rPr>
        <w:t>A comprehensive review on biodiesel as an alternative energy resource and its characteristics</w:t>
      </w:r>
      <w:r w:rsidRPr="005C71C6">
        <w:rPr>
          <w:rFonts w:ascii="Tahoma" w:eastAsia="Calibri" w:hAnsi="Tahoma" w:cs="Tahoma"/>
          <w:sz w:val="18"/>
          <w:szCs w:val="18"/>
          <w:lang w:val="en-US"/>
        </w:rPr>
        <w:t xml:space="preserve">. </w:t>
      </w:r>
      <w:r w:rsidRPr="005C71C6">
        <w:rPr>
          <w:rFonts w:ascii="Tahoma" w:eastAsia="Calibri" w:hAnsi="Tahoma" w:cs="Tahoma"/>
          <w:sz w:val="18"/>
          <w:szCs w:val="18"/>
        </w:rPr>
        <w:t>Renewable and Sustainable Energy Reviews, v. 16, n. 4, p. 2070–2093, maio 2012. Disponível em:</w:t>
      </w:r>
      <w:r w:rsidR="00440629" w:rsidRPr="005C71C6">
        <w:rPr>
          <w:rFonts w:ascii="Tahoma" w:hAnsi="Tahoma" w:cs="Tahoma"/>
          <w:sz w:val="18"/>
          <w:szCs w:val="18"/>
        </w:rPr>
        <w:t xml:space="preserve"> </w:t>
      </w:r>
      <w:hyperlink r:id="rId21" w:history="1">
        <w:r w:rsidR="00440629" w:rsidRPr="005C71C6">
          <w:rPr>
            <w:rStyle w:val="Hyperlink"/>
            <w:rFonts w:ascii="Tahoma" w:eastAsia="Calibri" w:hAnsi="Tahoma" w:cs="Tahoma"/>
            <w:sz w:val="18"/>
            <w:szCs w:val="18"/>
          </w:rPr>
          <w:t>ScienceDirect</w:t>
        </w:r>
      </w:hyperlink>
      <w:r w:rsidR="00985F64" w:rsidRPr="005C71C6">
        <w:rPr>
          <w:rFonts w:ascii="Tahoma" w:eastAsia="Calibri" w:hAnsi="Tahoma" w:cs="Tahoma"/>
          <w:sz w:val="18"/>
          <w:szCs w:val="18"/>
        </w:rPr>
        <w:t>.</w:t>
      </w:r>
      <w:r w:rsidR="00C85F45" w:rsidRPr="005C71C6">
        <w:rPr>
          <w:rFonts w:ascii="Tahoma" w:eastAsia="Calibri" w:hAnsi="Tahoma" w:cs="Tahoma"/>
          <w:sz w:val="18"/>
          <w:szCs w:val="18"/>
        </w:rPr>
        <w:t xml:space="preserve"> </w:t>
      </w:r>
      <w:r w:rsidRPr="005C71C6">
        <w:rPr>
          <w:rFonts w:ascii="Tahoma" w:eastAsia="Calibri" w:hAnsi="Tahoma" w:cs="Tahoma"/>
          <w:sz w:val="18"/>
          <w:szCs w:val="18"/>
        </w:rPr>
        <w:t>Acesso em: 30 jan. 2026</w:t>
      </w:r>
    </w:p>
    <w:p w14:paraId="78C059C9"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Agência Nacional do Petróleo, Gás Natural e Biocombustíveis. </w:t>
      </w:r>
      <w:r w:rsidRPr="005C71C6">
        <w:rPr>
          <w:rFonts w:ascii="Tahoma" w:eastAsia="Calibri" w:hAnsi="Tahoma" w:cs="Tahoma"/>
          <w:b/>
          <w:bCs/>
          <w:sz w:val="18"/>
          <w:szCs w:val="18"/>
        </w:rPr>
        <w:t>Resolução ANP nº 857, de 28 de outubro de 2021.</w:t>
      </w:r>
      <w:r w:rsidRPr="005C71C6">
        <w:rPr>
          <w:rFonts w:ascii="Tahoma" w:eastAsia="Calibri" w:hAnsi="Tahoma" w:cs="Tahoma"/>
          <w:sz w:val="18"/>
          <w:szCs w:val="18"/>
        </w:rPr>
        <w:t xml:space="preserve"> Dispõe sobre as regras de comercialização de biodiesel para atendimento da adição obrigatória de biodiesel ao óleo diesel comercializado com o consumidor final, estabelecido na Lei nº 13.033, de 24 de setembro de 2014. Diário Oficial da União: Seção 1, Brasília, DF, 29 out. 2021. Disponível em: </w:t>
      </w:r>
      <w:hyperlink r:id="rId22" w:history="1">
        <w:r w:rsidRPr="005C71C6">
          <w:rPr>
            <w:rStyle w:val="Hyperlink"/>
            <w:rFonts w:ascii="Tahoma" w:eastAsia="Calibri" w:hAnsi="Tahoma" w:cs="Tahoma"/>
            <w:sz w:val="18"/>
            <w:szCs w:val="18"/>
          </w:rPr>
          <w:t>Texto publicado (cópia do DOU em PDF)</w:t>
        </w:r>
      </w:hyperlink>
      <w:r w:rsidRPr="005C71C6">
        <w:rPr>
          <w:rFonts w:ascii="Tahoma" w:eastAsia="Calibri" w:hAnsi="Tahoma" w:cs="Tahoma"/>
          <w:sz w:val="18"/>
          <w:szCs w:val="18"/>
        </w:rPr>
        <w:t>. Acesso em: 30 jan. 2026.</w:t>
      </w:r>
    </w:p>
    <w:p w14:paraId="06417413"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Conselho Nacional de Política Energética. </w:t>
      </w:r>
      <w:r w:rsidRPr="005C71C6">
        <w:rPr>
          <w:rFonts w:ascii="Tahoma" w:eastAsia="Calibri" w:hAnsi="Tahoma" w:cs="Tahoma"/>
          <w:b/>
          <w:bCs/>
          <w:sz w:val="18"/>
          <w:szCs w:val="18"/>
        </w:rPr>
        <w:t>Resolução CNPE nº 1, de 18 de fevereiro de 2025.</w:t>
      </w:r>
      <w:r w:rsidRPr="005C71C6">
        <w:rPr>
          <w:rFonts w:ascii="Tahoma" w:eastAsia="Calibri" w:hAnsi="Tahoma" w:cs="Tahoma"/>
          <w:sz w:val="18"/>
          <w:szCs w:val="18"/>
        </w:rPr>
        <w:t xml:space="preserve"> Institui Grupo de Trabalho para estudar a diversificação de matérias-primas e a inclusão de agricultores familiares e de pequenos produtores na produção de biocombustíveis. Diário Oficial da União: Brasília, DF, 5 mar. 2025. Disponível em: </w:t>
      </w:r>
      <w:hyperlink r:id="rId23" w:history="1">
        <w:r w:rsidRPr="005C71C6">
          <w:rPr>
            <w:rStyle w:val="Hyperlink"/>
            <w:rFonts w:ascii="Tahoma" w:eastAsia="Calibri" w:hAnsi="Tahoma" w:cs="Tahoma"/>
            <w:sz w:val="18"/>
            <w:szCs w:val="18"/>
          </w:rPr>
          <w:t>MME – Resolução CNPE nº 1/2025 (PDF)</w:t>
        </w:r>
      </w:hyperlink>
      <w:r w:rsidRPr="005C71C6">
        <w:rPr>
          <w:rFonts w:ascii="Tahoma" w:eastAsia="Calibri" w:hAnsi="Tahoma" w:cs="Tahoma"/>
          <w:sz w:val="18"/>
          <w:szCs w:val="18"/>
        </w:rPr>
        <w:t>. Acesso em: 30 jan. 2026.</w:t>
      </w:r>
    </w:p>
    <w:p w14:paraId="180EC0B7"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Conselho Nacional de Política Energética. </w:t>
      </w:r>
      <w:r w:rsidRPr="005C71C6">
        <w:rPr>
          <w:rFonts w:ascii="Tahoma" w:eastAsia="Calibri" w:hAnsi="Tahoma" w:cs="Tahoma"/>
          <w:b/>
          <w:bCs/>
          <w:sz w:val="18"/>
          <w:szCs w:val="18"/>
        </w:rPr>
        <w:t>Resolução CNPE nº 11, de 14 de dezembro de 2016.</w:t>
      </w:r>
      <w:r w:rsidRPr="005C71C6">
        <w:rPr>
          <w:rFonts w:ascii="Tahoma" w:eastAsia="Calibri" w:hAnsi="Tahoma" w:cs="Tahoma"/>
          <w:sz w:val="18"/>
          <w:szCs w:val="18"/>
        </w:rPr>
        <w:t xml:space="preserve"> Dispõe sobre adição obrigatória de biodiesel ao óleo diesel vendido ao consumidor final, em qualquer parte do território nacional. Diário Oficial da União: Brasília, DF, 1 mar. 2017. Disponível em: </w:t>
      </w:r>
      <w:hyperlink r:id="rId24" w:history="1">
        <w:r w:rsidRPr="005C71C6">
          <w:rPr>
            <w:rStyle w:val="Hyperlink"/>
            <w:rFonts w:ascii="Tahoma" w:eastAsia="Calibri" w:hAnsi="Tahoma" w:cs="Tahoma"/>
            <w:sz w:val="18"/>
            <w:szCs w:val="18"/>
          </w:rPr>
          <w:t>MME – Resolução CNPE nº 11/2016 (PDF)</w:t>
        </w:r>
      </w:hyperlink>
      <w:r w:rsidRPr="005C71C6">
        <w:rPr>
          <w:rFonts w:ascii="Tahoma" w:eastAsia="Calibri" w:hAnsi="Tahoma" w:cs="Tahoma"/>
          <w:sz w:val="18"/>
          <w:szCs w:val="18"/>
        </w:rPr>
        <w:t>. Acesso em: 30 jan. 2026.</w:t>
      </w:r>
    </w:p>
    <w:p w14:paraId="0903EEB9"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Conselho Nacional de Política Energética. </w:t>
      </w:r>
      <w:r w:rsidRPr="005C71C6">
        <w:rPr>
          <w:rFonts w:ascii="Tahoma" w:eastAsia="Calibri" w:hAnsi="Tahoma" w:cs="Tahoma"/>
          <w:b/>
          <w:bCs/>
          <w:sz w:val="18"/>
          <w:szCs w:val="18"/>
        </w:rPr>
        <w:t>Resolução CNPE nº 13, de 10 de dezembro de 2024.</w:t>
      </w:r>
      <w:r w:rsidRPr="005C71C6">
        <w:rPr>
          <w:rFonts w:ascii="Tahoma" w:eastAsia="Calibri" w:hAnsi="Tahoma" w:cs="Tahoma"/>
          <w:sz w:val="18"/>
          <w:szCs w:val="18"/>
        </w:rPr>
        <w:t xml:space="preserve"> Estabelece como de interesse da Política Energética Nacional a fixação de proporção mínima de óleos e gorduras residuais (OGRs) em relação às matérias-primas utilizadas para a produção de biodiesel, combustível sustentável de aviação (SAF) e diesel verde, e dá outras providências. Diário Oficial da União: Brasília, DF, 19 dez. 2024. Disponível em: </w:t>
      </w:r>
      <w:hyperlink r:id="rId25" w:history="1">
        <w:r w:rsidRPr="005C71C6">
          <w:rPr>
            <w:rStyle w:val="Hyperlink"/>
            <w:rFonts w:ascii="Tahoma" w:eastAsia="Calibri" w:hAnsi="Tahoma" w:cs="Tahoma"/>
            <w:sz w:val="18"/>
            <w:szCs w:val="18"/>
          </w:rPr>
          <w:t>MME – Resolução CNPE nº 13/2024 (PDF)</w:t>
        </w:r>
      </w:hyperlink>
      <w:r w:rsidRPr="005C71C6">
        <w:rPr>
          <w:rFonts w:ascii="Tahoma" w:eastAsia="Calibri" w:hAnsi="Tahoma" w:cs="Tahoma"/>
          <w:sz w:val="18"/>
          <w:szCs w:val="18"/>
        </w:rPr>
        <w:t>. Acesso em: 30 jan. 2026.</w:t>
      </w:r>
    </w:p>
    <w:p w14:paraId="76E9D232"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Conselho Nacional de Política Energética. </w:t>
      </w:r>
      <w:r w:rsidRPr="005C71C6">
        <w:rPr>
          <w:rFonts w:ascii="Tahoma" w:eastAsia="Calibri" w:hAnsi="Tahoma" w:cs="Tahoma"/>
          <w:b/>
          <w:bCs/>
          <w:sz w:val="18"/>
          <w:szCs w:val="18"/>
        </w:rPr>
        <w:t xml:space="preserve">Resolução CNPE nº 14, de 9 de dezembro de 2020. </w:t>
      </w:r>
      <w:r w:rsidRPr="005C71C6">
        <w:rPr>
          <w:rFonts w:ascii="Tahoma" w:eastAsia="Calibri" w:hAnsi="Tahoma" w:cs="Tahoma"/>
          <w:sz w:val="18"/>
          <w:szCs w:val="18"/>
        </w:rPr>
        <w:t xml:space="preserve">Estabelece as diretrizes para a comercialização de biodiesel em todo território nacional, e dá outras providências. Diário Oficial da União: Brasília, DF, 30 dez. 2020. Disponível em: </w:t>
      </w:r>
      <w:hyperlink r:id="rId26" w:history="1">
        <w:r w:rsidRPr="005C71C6">
          <w:rPr>
            <w:rStyle w:val="Hyperlink"/>
            <w:rFonts w:ascii="Tahoma" w:eastAsia="Calibri" w:hAnsi="Tahoma" w:cs="Tahoma"/>
            <w:sz w:val="18"/>
            <w:szCs w:val="18"/>
          </w:rPr>
          <w:t>MME – Resolução CNPE nº 14/2020 (PDF)</w:t>
        </w:r>
      </w:hyperlink>
      <w:r w:rsidRPr="005C71C6">
        <w:rPr>
          <w:rFonts w:ascii="Tahoma" w:eastAsia="Calibri" w:hAnsi="Tahoma" w:cs="Tahoma"/>
          <w:sz w:val="18"/>
          <w:szCs w:val="18"/>
        </w:rPr>
        <w:t>. Acesso em: 30 jan. 2026.</w:t>
      </w:r>
    </w:p>
    <w:p w14:paraId="0331C1B4"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Conselho Nacional de Política Energética. </w:t>
      </w:r>
      <w:r w:rsidRPr="005C71C6">
        <w:rPr>
          <w:rFonts w:ascii="Tahoma" w:eastAsia="Calibri" w:hAnsi="Tahoma" w:cs="Tahoma"/>
          <w:b/>
          <w:bCs/>
          <w:sz w:val="18"/>
          <w:szCs w:val="18"/>
        </w:rPr>
        <w:t>Resolução CNPE nº 5, de 3 de outubro de 2007.</w:t>
      </w:r>
      <w:r w:rsidRPr="005C71C6">
        <w:rPr>
          <w:rFonts w:ascii="Tahoma" w:eastAsia="Calibri" w:hAnsi="Tahoma" w:cs="Tahoma"/>
          <w:sz w:val="18"/>
          <w:szCs w:val="18"/>
        </w:rPr>
        <w:t xml:space="preserve"> Estabelece diretrizes gerais para a realização de leilões públicos para aquisição de biodiesel, em razão da obrigatoriedade legal prevista na Lei nº 11.097, de 13 de janeiro de 2005, e dá outras providências. Disponível em: </w:t>
      </w:r>
      <w:hyperlink r:id="rId27" w:history="1">
        <w:r w:rsidRPr="005C71C6">
          <w:rPr>
            <w:rStyle w:val="Hyperlink"/>
            <w:rFonts w:ascii="Tahoma" w:eastAsia="Calibri" w:hAnsi="Tahoma" w:cs="Tahoma"/>
            <w:sz w:val="18"/>
            <w:szCs w:val="18"/>
          </w:rPr>
          <w:t>MME – Resolução CNPE nº 5/2007 (PDF)</w:t>
        </w:r>
      </w:hyperlink>
      <w:r w:rsidRPr="005C71C6">
        <w:rPr>
          <w:rFonts w:ascii="Tahoma" w:eastAsia="Calibri" w:hAnsi="Tahoma" w:cs="Tahoma"/>
          <w:sz w:val="18"/>
          <w:szCs w:val="18"/>
        </w:rPr>
        <w:t>. Acesso em: 30 jan. 2026.</w:t>
      </w:r>
    </w:p>
    <w:p w14:paraId="26E0BB7B"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Conselho Nacional de Política Energética. </w:t>
      </w:r>
      <w:r w:rsidRPr="005C71C6">
        <w:rPr>
          <w:rFonts w:ascii="Tahoma" w:eastAsia="Calibri" w:hAnsi="Tahoma" w:cs="Tahoma"/>
          <w:b/>
          <w:bCs/>
          <w:sz w:val="18"/>
          <w:szCs w:val="18"/>
        </w:rPr>
        <w:t>Resolução CNPE nº 6, de 16 de setembro de 2009.</w:t>
      </w:r>
      <w:r w:rsidRPr="005C71C6">
        <w:rPr>
          <w:rFonts w:ascii="Tahoma" w:eastAsia="Calibri" w:hAnsi="Tahoma" w:cs="Tahoma"/>
          <w:sz w:val="18"/>
          <w:szCs w:val="18"/>
        </w:rPr>
        <w:t xml:space="preserve"> Estabelece em cinco por cento, em volume, o percentual mínimo obrigatório de adição de biodiesel ao óleo diesel comercializado ao consumidor final. Diário Oficial da União: Brasília, DF, 26 out. 2009. Disponível em: MME – </w:t>
      </w:r>
      <w:hyperlink r:id="rId28" w:history="1">
        <w:r w:rsidRPr="005C71C6">
          <w:rPr>
            <w:rStyle w:val="Hyperlink"/>
            <w:rFonts w:ascii="Tahoma" w:eastAsia="Calibri" w:hAnsi="Tahoma" w:cs="Tahoma"/>
            <w:sz w:val="18"/>
            <w:szCs w:val="18"/>
          </w:rPr>
          <w:t>Resolução CNPE nº 6/2009 (PDF)</w:t>
        </w:r>
      </w:hyperlink>
      <w:r w:rsidRPr="005C71C6">
        <w:rPr>
          <w:rFonts w:ascii="Tahoma" w:eastAsia="Calibri" w:hAnsi="Tahoma" w:cs="Tahoma"/>
          <w:sz w:val="18"/>
          <w:szCs w:val="18"/>
        </w:rPr>
        <w:t>. Acesso em: 30 jan. 2026.</w:t>
      </w:r>
    </w:p>
    <w:p w14:paraId="16853428"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Conselho Nacional de Política Energética. </w:t>
      </w:r>
      <w:r w:rsidRPr="005C71C6">
        <w:rPr>
          <w:rFonts w:ascii="Tahoma" w:eastAsia="Calibri" w:hAnsi="Tahoma" w:cs="Tahoma"/>
          <w:b/>
          <w:bCs/>
          <w:sz w:val="18"/>
          <w:szCs w:val="18"/>
        </w:rPr>
        <w:t xml:space="preserve">Resolução CNPE nº 8, de 25 de junho de 2025. </w:t>
      </w:r>
      <w:r w:rsidRPr="005C71C6">
        <w:rPr>
          <w:rFonts w:ascii="Tahoma" w:eastAsia="Calibri" w:hAnsi="Tahoma" w:cs="Tahoma"/>
          <w:sz w:val="18"/>
          <w:szCs w:val="18"/>
        </w:rPr>
        <w:t xml:space="preserve">Fixa o teor obrigatório de biodiesel no diesel comercial em atendimento à Lei nº 13.033, de 24 de setembro de 2014. Diário Oficial da União: Brasília, DF, 2 jul. 2025. Vigência/efeitos: 1º ago. 2025. Disponível em: </w:t>
      </w:r>
      <w:hyperlink r:id="rId29" w:history="1">
        <w:r w:rsidRPr="005C71C6">
          <w:rPr>
            <w:rStyle w:val="Hyperlink"/>
            <w:rFonts w:ascii="Tahoma" w:eastAsia="Calibri" w:hAnsi="Tahoma" w:cs="Tahoma"/>
            <w:sz w:val="18"/>
            <w:szCs w:val="18"/>
          </w:rPr>
          <w:t>Resoluções CNPE 2025 (lista oficial)</w:t>
        </w:r>
      </w:hyperlink>
      <w:r w:rsidRPr="005C71C6">
        <w:rPr>
          <w:rFonts w:ascii="Tahoma" w:eastAsia="Calibri" w:hAnsi="Tahoma" w:cs="Tahoma"/>
          <w:sz w:val="18"/>
          <w:szCs w:val="18"/>
        </w:rPr>
        <w:t>. Acesso em: 30 jan. 2026.</w:t>
      </w:r>
    </w:p>
    <w:p w14:paraId="0F2E9E2D"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lastRenderedPageBreak/>
        <w:t xml:space="preserve">BRASIL. Ministério de Minas e Energia. </w:t>
      </w:r>
      <w:r w:rsidRPr="005C71C6">
        <w:rPr>
          <w:rFonts w:ascii="Tahoma" w:eastAsia="Calibri" w:hAnsi="Tahoma" w:cs="Tahoma"/>
          <w:b/>
          <w:bCs/>
          <w:sz w:val="18"/>
          <w:szCs w:val="18"/>
        </w:rPr>
        <w:t>Portaria nº 262, de 17 de junho de 2016.</w:t>
      </w:r>
      <w:r w:rsidRPr="005C71C6">
        <w:rPr>
          <w:rFonts w:ascii="Tahoma" w:eastAsia="Calibri" w:hAnsi="Tahoma" w:cs="Tahoma"/>
          <w:sz w:val="18"/>
          <w:szCs w:val="18"/>
        </w:rPr>
        <w:t xml:space="preserve"> Institui Grupo de Trabalho encarregado da formulação, implantação e acompanhamento de ações direcionadas à realização de testes e ensaios em motores e veículos para validar a utilização de misturas de biodiesel ao óleo diesel em percentuais superiores a 7%. Disponível em: </w:t>
      </w:r>
      <w:hyperlink r:id="rId30" w:history="1">
        <w:r w:rsidRPr="005C71C6">
          <w:rPr>
            <w:rStyle w:val="Hyperlink"/>
            <w:rFonts w:ascii="Tahoma" w:eastAsia="Calibri" w:hAnsi="Tahoma" w:cs="Tahoma"/>
            <w:sz w:val="18"/>
            <w:szCs w:val="18"/>
          </w:rPr>
          <w:t>MME – Portaria nº 262/2016 (PDF)</w:t>
        </w:r>
      </w:hyperlink>
      <w:r w:rsidRPr="005C71C6">
        <w:rPr>
          <w:rFonts w:ascii="Tahoma" w:eastAsia="Calibri" w:hAnsi="Tahoma" w:cs="Tahoma"/>
          <w:sz w:val="18"/>
          <w:szCs w:val="18"/>
        </w:rPr>
        <w:t>. Acesso em: 30 jan. 2026.</w:t>
      </w:r>
    </w:p>
    <w:p w14:paraId="0A76EE4E"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Ministério do Desenvolvimento Agrário. </w:t>
      </w:r>
      <w:r w:rsidRPr="005C71C6">
        <w:rPr>
          <w:rFonts w:ascii="Tahoma" w:eastAsia="Calibri" w:hAnsi="Tahoma" w:cs="Tahoma"/>
          <w:b/>
          <w:bCs/>
          <w:sz w:val="18"/>
          <w:szCs w:val="18"/>
        </w:rPr>
        <w:t>Instrução Normativa nº 1, de 19 de fevereiro de 2009.</w:t>
      </w:r>
      <w:r w:rsidRPr="005C71C6">
        <w:rPr>
          <w:rFonts w:ascii="Tahoma" w:eastAsia="Calibri" w:hAnsi="Tahoma" w:cs="Tahoma"/>
          <w:sz w:val="18"/>
          <w:szCs w:val="18"/>
        </w:rPr>
        <w:t xml:space="preserve"> Dispõe sobre os critérios e procedimentos relativos à concessão, manutenção e uso do selo combustível social. Diário Oficial da União: Brasília, DF, 25 fev. 2009. Disponível em: </w:t>
      </w:r>
      <w:hyperlink r:id="rId31" w:history="1">
        <w:r w:rsidRPr="005C71C6">
          <w:rPr>
            <w:rStyle w:val="Hyperlink"/>
            <w:rFonts w:ascii="Tahoma" w:eastAsia="Calibri" w:hAnsi="Tahoma" w:cs="Tahoma"/>
            <w:sz w:val="18"/>
            <w:szCs w:val="18"/>
          </w:rPr>
          <w:t>Normas Brasil – IN MDA nº 1/2009</w:t>
        </w:r>
      </w:hyperlink>
      <w:r w:rsidRPr="005C71C6">
        <w:rPr>
          <w:rFonts w:ascii="Tahoma" w:eastAsia="Calibri" w:hAnsi="Tahoma" w:cs="Tahoma"/>
          <w:sz w:val="18"/>
          <w:szCs w:val="18"/>
        </w:rPr>
        <w:t>. Acesso em: 30 jan. 2026.</w:t>
      </w:r>
    </w:p>
    <w:p w14:paraId="0FA0E488"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Ministério do Desenvolvimento Agrário. </w:t>
      </w:r>
      <w:r w:rsidRPr="005C71C6">
        <w:rPr>
          <w:rFonts w:ascii="Tahoma" w:eastAsia="Calibri" w:hAnsi="Tahoma" w:cs="Tahoma"/>
          <w:b/>
          <w:bCs/>
          <w:sz w:val="18"/>
          <w:szCs w:val="18"/>
        </w:rPr>
        <w:t>Instrução Normativa nº 1, de 5 de julho de 2005.</w:t>
      </w:r>
      <w:r w:rsidRPr="005C71C6">
        <w:rPr>
          <w:rFonts w:ascii="Tahoma" w:eastAsia="Calibri" w:hAnsi="Tahoma" w:cs="Tahoma"/>
          <w:sz w:val="18"/>
          <w:szCs w:val="18"/>
        </w:rPr>
        <w:t xml:space="preserve"> Dispõe sobre os critérios e procedimentos relativos à concessão de uso do selo combustível social. Diário Oficial da União: Brasília, DF, 7 jul. 2005. Disponível em: </w:t>
      </w:r>
      <w:hyperlink r:id="rId32" w:history="1">
        <w:r w:rsidRPr="005C71C6">
          <w:rPr>
            <w:rStyle w:val="Hyperlink"/>
            <w:rFonts w:ascii="Tahoma" w:eastAsia="Calibri" w:hAnsi="Tahoma" w:cs="Tahoma"/>
            <w:sz w:val="18"/>
            <w:szCs w:val="18"/>
          </w:rPr>
          <w:t>Normas Brasil – IN MDA nº 1/2005</w:t>
        </w:r>
      </w:hyperlink>
      <w:r w:rsidRPr="005C71C6">
        <w:rPr>
          <w:rFonts w:ascii="Tahoma" w:eastAsia="Calibri" w:hAnsi="Tahoma" w:cs="Tahoma"/>
          <w:sz w:val="18"/>
          <w:szCs w:val="18"/>
        </w:rPr>
        <w:t>. Acesso em: 30 jan. 2026.</w:t>
      </w:r>
    </w:p>
    <w:p w14:paraId="2A6BDFBE"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Presidência da República. </w:t>
      </w:r>
      <w:r w:rsidRPr="005C71C6">
        <w:rPr>
          <w:rFonts w:ascii="Tahoma" w:eastAsia="Calibri" w:hAnsi="Tahoma" w:cs="Tahoma"/>
          <w:b/>
          <w:bCs/>
          <w:sz w:val="18"/>
          <w:szCs w:val="18"/>
        </w:rPr>
        <w:t>Decreto nº 10.527, de 22 de outubro de 2020</w:t>
      </w:r>
      <w:r w:rsidRPr="005C71C6">
        <w:rPr>
          <w:rFonts w:ascii="Tahoma" w:eastAsia="Calibri" w:hAnsi="Tahoma" w:cs="Tahoma"/>
          <w:sz w:val="18"/>
          <w:szCs w:val="18"/>
        </w:rPr>
        <w:t xml:space="preserve">. Institui o Selo Biocombustível Social e dispõe sobre os coeficientes de redução das alíquotas de PIS/Pasep e Cofins incidentes na produção e na comercialização de biodiesel, e sobre os termos e as condições para a utilização das alíquotas diferenciadas. Diário Oficial da União: Brasília, DF, 23 out. 2020. Disponível em: </w:t>
      </w:r>
      <w:hyperlink r:id="rId33" w:history="1">
        <w:r w:rsidRPr="005C71C6">
          <w:rPr>
            <w:rStyle w:val="Hyperlink"/>
            <w:rFonts w:ascii="Tahoma" w:eastAsia="Calibri" w:hAnsi="Tahoma" w:cs="Tahoma"/>
            <w:sz w:val="18"/>
            <w:szCs w:val="18"/>
          </w:rPr>
          <w:t>Planalto – Decreto nº 10.527/2020</w:t>
        </w:r>
      </w:hyperlink>
      <w:r w:rsidRPr="005C71C6">
        <w:rPr>
          <w:rFonts w:ascii="Tahoma" w:eastAsia="Calibri" w:hAnsi="Tahoma" w:cs="Tahoma"/>
          <w:sz w:val="18"/>
          <w:szCs w:val="18"/>
        </w:rPr>
        <w:t>. Acesso em: 30 jan. 2026.</w:t>
      </w:r>
    </w:p>
    <w:p w14:paraId="0773478E"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Presidência da República. </w:t>
      </w:r>
      <w:r w:rsidRPr="005C71C6">
        <w:rPr>
          <w:rFonts w:ascii="Tahoma" w:eastAsia="Calibri" w:hAnsi="Tahoma" w:cs="Tahoma"/>
          <w:b/>
          <w:bCs/>
          <w:sz w:val="18"/>
          <w:szCs w:val="18"/>
        </w:rPr>
        <w:t>Decreto nº 11.902, de 30 de janeiro de 2024.</w:t>
      </w:r>
      <w:r w:rsidRPr="005C71C6">
        <w:rPr>
          <w:rFonts w:ascii="Tahoma" w:eastAsia="Calibri" w:hAnsi="Tahoma" w:cs="Tahoma"/>
          <w:sz w:val="18"/>
          <w:szCs w:val="18"/>
        </w:rPr>
        <w:t xml:space="preserve"> Altera o Decreto nº 10.527, de 22 de outubro de 2020, que institui o Selo Biocombustível Social e dispõe sobre coeficientes de redução das alíquotas de PIS/Pasep e Cofins incidentes na produção e na comercialização de biodiesel, e sobre os termos e as condições para a utilização das alíquotas diferenciadas. Diário Oficial da União: Brasília, DF, 31 jan. 2024. Disponível em: </w:t>
      </w:r>
      <w:hyperlink r:id="rId34" w:history="1">
        <w:r w:rsidRPr="005C71C6">
          <w:rPr>
            <w:rStyle w:val="Hyperlink"/>
            <w:rFonts w:ascii="Tahoma" w:eastAsia="Calibri" w:hAnsi="Tahoma" w:cs="Tahoma"/>
            <w:sz w:val="18"/>
            <w:szCs w:val="18"/>
          </w:rPr>
          <w:t>Planalto – Decreto nº 11.902/2024</w:t>
        </w:r>
      </w:hyperlink>
      <w:r w:rsidRPr="005C71C6">
        <w:rPr>
          <w:rFonts w:ascii="Tahoma" w:eastAsia="Calibri" w:hAnsi="Tahoma" w:cs="Tahoma"/>
          <w:sz w:val="18"/>
          <w:szCs w:val="18"/>
        </w:rPr>
        <w:t>. Acesso em: 30 jan. 2026.</w:t>
      </w:r>
    </w:p>
    <w:p w14:paraId="6C8CC9A8"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Presidência da República. </w:t>
      </w:r>
      <w:r w:rsidRPr="005C71C6">
        <w:rPr>
          <w:rFonts w:ascii="Tahoma" w:eastAsia="Calibri" w:hAnsi="Tahoma" w:cs="Tahoma"/>
          <w:b/>
          <w:bCs/>
          <w:sz w:val="18"/>
          <w:szCs w:val="18"/>
        </w:rPr>
        <w:t>Decreto nº 5.297, de 6 de dezembro de 2004.</w:t>
      </w:r>
      <w:r w:rsidRPr="005C71C6">
        <w:rPr>
          <w:rFonts w:ascii="Tahoma" w:eastAsia="Calibri" w:hAnsi="Tahoma" w:cs="Tahoma"/>
          <w:sz w:val="18"/>
          <w:szCs w:val="18"/>
        </w:rPr>
        <w:t xml:space="preserve"> Dispõe sobre os coeficientes de redução das alíquotas da Contribuição para o PIS/PASEP e da COFINS incidentes na produção e na comercialização de biodiesel, sobre os termos e as condições para a utilização das alíquotas diferenciadas, e dá outras providências. Diário Oficial da União: Brasília, DF, 7 dez. 2004. Disponível em: </w:t>
      </w:r>
      <w:hyperlink r:id="rId35" w:history="1">
        <w:r w:rsidRPr="005C71C6">
          <w:rPr>
            <w:rStyle w:val="Hyperlink"/>
            <w:rFonts w:ascii="Tahoma" w:eastAsia="Calibri" w:hAnsi="Tahoma" w:cs="Tahoma"/>
            <w:sz w:val="18"/>
            <w:szCs w:val="18"/>
          </w:rPr>
          <w:t>Planalto – Decreto nº 5.297/2004</w:t>
        </w:r>
      </w:hyperlink>
      <w:r w:rsidRPr="005C71C6">
        <w:rPr>
          <w:rFonts w:ascii="Tahoma" w:eastAsia="Calibri" w:hAnsi="Tahoma" w:cs="Tahoma"/>
          <w:sz w:val="18"/>
          <w:szCs w:val="18"/>
        </w:rPr>
        <w:t>. Acesso em: 30 jan. 2026.</w:t>
      </w:r>
    </w:p>
    <w:p w14:paraId="70211F46"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Presidência da República. </w:t>
      </w:r>
      <w:r w:rsidRPr="005C71C6">
        <w:rPr>
          <w:rFonts w:ascii="Tahoma" w:eastAsia="Calibri" w:hAnsi="Tahoma" w:cs="Tahoma"/>
          <w:b/>
          <w:bCs/>
          <w:sz w:val="18"/>
          <w:szCs w:val="18"/>
        </w:rPr>
        <w:t>Decreto nº 5.448, de 20 de maio de 2005.</w:t>
      </w:r>
      <w:r w:rsidRPr="005C71C6">
        <w:rPr>
          <w:rFonts w:ascii="Tahoma" w:eastAsia="Calibri" w:hAnsi="Tahoma" w:cs="Tahoma"/>
          <w:sz w:val="18"/>
          <w:szCs w:val="18"/>
        </w:rPr>
        <w:t xml:space="preserve"> Regulamenta o § 1º do art. 2º da Lei nº 11.097, de 13 de janeiro de 2005, que dispõe sobre a introdução do biodiesel na matriz energética brasileira, e dá outras providências. Diário Oficial da União: Seção 1, Brasília, DF, 24 maio 2005. Disponível em: </w:t>
      </w:r>
      <w:hyperlink r:id="rId36" w:history="1">
        <w:r w:rsidRPr="005C71C6">
          <w:rPr>
            <w:rStyle w:val="Hyperlink"/>
            <w:rFonts w:ascii="Tahoma" w:eastAsia="Calibri" w:hAnsi="Tahoma" w:cs="Tahoma"/>
            <w:sz w:val="18"/>
            <w:szCs w:val="18"/>
          </w:rPr>
          <w:t>Planalto – Decreto nº 5.448/2005</w:t>
        </w:r>
      </w:hyperlink>
      <w:r w:rsidRPr="005C71C6">
        <w:rPr>
          <w:rFonts w:ascii="Tahoma" w:eastAsia="Calibri" w:hAnsi="Tahoma" w:cs="Tahoma"/>
          <w:sz w:val="18"/>
          <w:szCs w:val="18"/>
        </w:rPr>
        <w:t>. Acesso em: 30 jan. 2026.</w:t>
      </w:r>
    </w:p>
    <w:p w14:paraId="41B9BA57"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Presidência da República. </w:t>
      </w:r>
      <w:r w:rsidRPr="005C71C6">
        <w:rPr>
          <w:rFonts w:ascii="Tahoma" w:eastAsia="Calibri" w:hAnsi="Tahoma" w:cs="Tahoma"/>
          <w:b/>
          <w:bCs/>
          <w:sz w:val="18"/>
          <w:szCs w:val="18"/>
        </w:rPr>
        <w:t>Decreto s/n, de 2 de julho de 2003.</w:t>
      </w:r>
      <w:r w:rsidRPr="005C71C6">
        <w:rPr>
          <w:rFonts w:ascii="Tahoma" w:eastAsia="Calibri" w:hAnsi="Tahoma" w:cs="Tahoma"/>
          <w:sz w:val="18"/>
          <w:szCs w:val="18"/>
        </w:rPr>
        <w:t xml:space="preserve"> Institui Grupo de Trabalho Interministerial encarregado de apresentar estudos sobre a viabilidade de utilização de óleo vegetal – biodiesel como fonte alternativa de energia, propondo, caso necessário, as ações necessárias para o uso do biodiesel. Diário Oficial da União: Seção 1, Brasília, DF, 3 jul. 2003. Disponível em: </w:t>
      </w:r>
      <w:hyperlink r:id="rId37" w:history="1">
        <w:r w:rsidRPr="005C71C6">
          <w:rPr>
            <w:rStyle w:val="Hyperlink"/>
            <w:rFonts w:ascii="Tahoma" w:eastAsia="Calibri" w:hAnsi="Tahoma" w:cs="Tahoma"/>
            <w:sz w:val="18"/>
            <w:szCs w:val="18"/>
          </w:rPr>
          <w:t>Planalto – DNN9920</w:t>
        </w:r>
      </w:hyperlink>
      <w:r w:rsidRPr="005C71C6">
        <w:rPr>
          <w:rFonts w:ascii="Tahoma" w:eastAsia="Calibri" w:hAnsi="Tahoma" w:cs="Tahoma"/>
          <w:sz w:val="18"/>
          <w:szCs w:val="18"/>
        </w:rPr>
        <w:t>. Acesso em: 30 jan. 2026.</w:t>
      </w:r>
    </w:p>
    <w:p w14:paraId="0D2E6377"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Presidência da República. </w:t>
      </w:r>
      <w:r w:rsidRPr="005C71C6">
        <w:rPr>
          <w:rFonts w:ascii="Tahoma" w:eastAsia="Calibri" w:hAnsi="Tahoma" w:cs="Tahoma"/>
          <w:b/>
          <w:bCs/>
          <w:sz w:val="18"/>
          <w:szCs w:val="18"/>
        </w:rPr>
        <w:t>Lei nº 11.097, de 13 de janeiro de 2005.</w:t>
      </w:r>
      <w:r w:rsidRPr="005C71C6">
        <w:rPr>
          <w:rFonts w:ascii="Tahoma" w:eastAsia="Calibri" w:hAnsi="Tahoma" w:cs="Tahoma"/>
          <w:sz w:val="18"/>
          <w:szCs w:val="18"/>
        </w:rPr>
        <w:t xml:space="preserve"> Dispõe sobre a introdução do biodiesel na matriz energética brasileira; altera as Leis nºs 9.478, de 6 de agosto de 1997, 9.847, de 26 de outubro de 1999 e 10.636, de 30 de dezembro de 2002; e dá outras providências. Diário Oficial da União: Brasília, DF, 14 jan. 2005. Disponível em: </w:t>
      </w:r>
      <w:hyperlink r:id="rId38" w:history="1">
        <w:r w:rsidRPr="005C71C6">
          <w:rPr>
            <w:rStyle w:val="Hyperlink"/>
            <w:rFonts w:ascii="Tahoma" w:eastAsia="Calibri" w:hAnsi="Tahoma" w:cs="Tahoma"/>
            <w:sz w:val="18"/>
            <w:szCs w:val="18"/>
          </w:rPr>
          <w:t>Planalto – Lei nº 11.097/2005.</w:t>
        </w:r>
      </w:hyperlink>
      <w:r w:rsidRPr="005C71C6">
        <w:rPr>
          <w:rFonts w:ascii="Tahoma" w:eastAsia="Calibri" w:hAnsi="Tahoma" w:cs="Tahoma"/>
          <w:sz w:val="18"/>
          <w:szCs w:val="18"/>
        </w:rPr>
        <w:t xml:space="preserve"> Acesso em: 30 jan. 2026.</w:t>
      </w:r>
    </w:p>
    <w:p w14:paraId="47AA8720"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Presidência da República. </w:t>
      </w:r>
      <w:r w:rsidRPr="005C71C6">
        <w:rPr>
          <w:rFonts w:ascii="Tahoma" w:eastAsia="Calibri" w:hAnsi="Tahoma" w:cs="Tahoma"/>
          <w:b/>
          <w:bCs/>
          <w:sz w:val="18"/>
          <w:szCs w:val="18"/>
        </w:rPr>
        <w:t>Lei nº 13.033, de 24 de setembro de 2014.</w:t>
      </w:r>
      <w:r w:rsidRPr="005C71C6">
        <w:rPr>
          <w:rFonts w:ascii="Tahoma" w:eastAsia="Calibri" w:hAnsi="Tahoma" w:cs="Tahoma"/>
          <w:sz w:val="18"/>
          <w:szCs w:val="18"/>
        </w:rPr>
        <w:t xml:space="preserve"> Dispõe sobre a adição obrigatória de biodiesel ao óleo diesel comercializado com o consumidor final; altera as Leis nºs 9.478, de 6 de agosto de 1997, e </w:t>
      </w:r>
      <w:r w:rsidRPr="005C71C6">
        <w:rPr>
          <w:rFonts w:ascii="Tahoma" w:eastAsia="Calibri" w:hAnsi="Tahoma" w:cs="Tahoma"/>
          <w:sz w:val="18"/>
          <w:szCs w:val="18"/>
        </w:rPr>
        <w:lastRenderedPageBreak/>
        <w:t xml:space="preserve">8.723, de 28 de outubro de 1993; revoga dispositivos da Lei nº 11.097, de 13 de janeiro de 2005; e dá outras providências. Disponível em: </w:t>
      </w:r>
      <w:hyperlink r:id="rId39" w:history="1">
        <w:r w:rsidRPr="005C71C6">
          <w:rPr>
            <w:rStyle w:val="Hyperlink"/>
            <w:rFonts w:ascii="Tahoma" w:eastAsia="Calibri" w:hAnsi="Tahoma" w:cs="Tahoma"/>
            <w:sz w:val="18"/>
            <w:szCs w:val="18"/>
          </w:rPr>
          <w:t>Planalto – Lei nº 13.033/2014</w:t>
        </w:r>
      </w:hyperlink>
      <w:r w:rsidRPr="005C71C6">
        <w:rPr>
          <w:rFonts w:ascii="Tahoma" w:eastAsia="Calibri" w:hAnsi="Tahoma" w:cs="Tahoma"/>
          <w:sz w:val="18"/>
          <w:szCs w:val="18"/>
        </w:rPr>
        <w:t>. Acesso em: 30 jan. 2026.</w:t>
      </w:r>
    </w:p>
    <w:p w14:paraId="740EA79F" w14:textId="77777777" w:rsidR="0095078C" w:rsidRPr="005C71C6" w:rsidRDefault="0095078C" w:rsidP="005C71C6">
      <w:pPr>
        <w:spacing w:before="240" w:after="240" w:line="360" w:lineRule="auto"/>
        <w:ind w:left="284"/>
        <w:jc w:val="both"/>
        <w:rPr>
          <w:rFonts w:ascii="Tahoma" w:eastAsia="Calibri" w:hAnsi="Tahoma" w:cs="Tahoma"/>
          <w:sz w:val="18"/>
          <w:szCs w:val="18"/>
        </w:rPr>
      </w:pPr>
      <w:r w:rsidRPr="005C71C6">
        <w:rPr>
          <w:rFonts w:ascii="Tahoma" w:eastAsia="Calibri" w:hAnsi="Tahoma" w:cs="Tahoma"/>
          <w:sz w:val="18"/>
          <w:szCs w:val="18"/>
        </w:rPr>
        <w:t xml:space="preserve">BRASIL. Presidência da República. </w:t>
      </w:r>
      <w:r w:rsidRPr="005C71C6">
        <w:rPr>
          <w:rFonts w:ascii="Tahoma" w:eastAsia="Calibri" w:hAnsi="Tahoma" w:cs="Tahoma"/>
          <w:b/>
          <w:bCs/>
          <w:sz w:val="18"/>
          <w:szCs w:val="18"/>
        </w:rPr>
        <w:t>Lei nº 13.263, de 23 de março de 2016.</w:t>
      </w:r>
      <w:r w:rsidRPr="005C71C6">
        <w:rPr>
          <w:rFonts w:ascii="Tahoma" w:eastAsia="Calibri" w:hAnsi="Tahoma" w:cs="Tahoma"/>
          <w:sz w:val="18"/>
          <w:szCs w:val="18"/>
        </w:rPr>
        <w:t xml:space="preserve"> Altera a Lei nº 13.033, de 24 de setembro de 2014, para dispor sobre os percentuais de adição de biodiesel ao óleo diesel comercializado no território nacional. Diário Oficial da União: Brasília, DF, 24 mar. 2016. Disponível em: </w:t>
      </w:r>
      <w:hyperlink r:id="rId40" w:history="1">
        <w:r w:rsidRPr="005C71C6">
          <w:rPr>
            <w:rStyle w:val="Hyperlink"/>
            <w:rFonts w:ascii="Tahoma" w:eastAsia="Calibri" w:hAnsi="Tahoma" w:cs="Tahoma"/>
            <w:sz w:val="18"/>
            <w:szCs w:val="18"/>
          </w:rPr>
          <w:t>Planalto – Lei nº 13.263/2016</w:t>
        </w:r>
      </w:hyperlink>
      <w:r w:rsidRPr="005C71C6">
        <w:rPr>
          <w:rFonts w:ascii="Tahoma" w:eastAsia="Calibri" w:hAnsi="Tahoma" w:cs="Tahoma"/>
          <w:sz w:val="18"/>
          <w:szCs w:val="18"/>
        </w:rPr>
        <w:t>. Acesso em: 30 jan. 2026.</w:t>
      </w:r>
    </w:p>
    <w:p w14:paraId="781B27C2" w14:textId="0B077624" w:rsidR="00CB1D61" w:rsidRPr="000D2CB0" w:rsidRDefault="00CB1D61" w:rsidP="000D2CB0">
      <w:pPr>
        <w:pStyle w:val="PargrafodaLista"/>
        <w:keepNext/>
        <w:spacing w:before="240" w:after="240" w:line="360" w:lineRule="auto"/>
        <w:ind w:left="284"/>
        <w:jc w:val="both"/>
        <w:rPr>
          <w:rFonts w:ascii="Tahoma" w:hAnsi="Tahoma" w:cs="Tahoma"/>
        </w:rPr>
      </w:pPr>
    </w:p>
    <w:sectPr w:rsidR="00CB1D61" w:rsidRPr="000D2CB0" w:rsidSect="00772614">
      <w:headerReference w:type="default" r:id="rId41"/>
      <w:footerReference w:type="even" r:id="rId42"/>
      <w:footerReference w:type="default" r:id="rId43"/>
      <w:headerReference w:type="first" r:id="rId44"/>
      <w:type w:val="continuous"/>
      <w:pgSz w:w="11906" w:h="16838" w:code="9"/>
      <w:pgMar w:top="1134" w:right="1134" w:bottom="1134" w:left="1134" w:header="567" w:footer="567" w:gutter="0"/>
      <w:cols w:space="227"/>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Danielle Borher de Andrade" w:date="2026-09-04T11:53:00Z" w:initials="DB">
    <w:p w14:paraId="490F57DB" w14:textId="77777777" w:rsidR="00EA43F2" w:rsidRDefault="00EA43F2" w:rsidP="00EA43F2">
      <w:pPr>
        <w:pStyle w:val="Textodecomentrio"/>
      </w:pPr>
      <w:r>
        <w:rPr>
          <w:rStyle w:val="Refdecomentrio"/>
        </w:rPr>
        <w:annotationRef/>
      </w:r>
      <w:r>
        <w:t xml:space="preserve">Inseri esse termo aqui para ficar mais claro que trata-se de 3 pilares </w:t>
      </w:r>
    </w:p>
  </w:comment>
  <w:comment w:id="2" w:author="Rachel Martins Henriques [2]" w:date="2026-09-18T16:39:00Z" w:initials="RMH">
    <w:p w14:paraId="5F110B75" w14:textId="77777777" w:rsidR="009B45D1" w:rsidRDefault="009B45D1" w:rsidP="009B45D1">
      <w:pPr>
        <w:pStyle w:val="Textodecomentrio"/>
      </w:pPr>
      <w:r>
        <w:rPr>
          <w:rStyle w:val="Refdecomentrio"/>
        </w:rPr>
        <w:annotationRef/>
      </w:r>
      <w:r>
        <w:t>NA dúvida aqui se falamos um pouquinho de diesel verde, uma vez que no inicio cita que biodiesel segundo a lei e biocombustivel pro cilco diesel. Mas como é sobr eo PNPB fiquei na dúvida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0F57DB" w15:done="1"/>
  <w15:commentEx w15:paraId="5F110B7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07F39C" w16cex:dateUtc="2026-09-04T14:53:00Z">
    <w16cex:extLst>
      <w16:ext w16:uri="{CE6994B0-6A32-4C9F-8C6B-6E91EDA988CE}">
        <cr:reactions xmlns:cr="http://schemas.microsoft.com/office/comments/2020/reactions">
          <cr:reaction reactionType="1">
            <cr:reactionInfo dateUtc="2026-09-18T19:25:29Z">
              <cr:user userId="S::rachel.henriques@epe.gov.br::89f55622-e663-48e3-ba49-30ec3600bc9d" userProvider="AD" userName="Rachel Martins Henriques"/>
            </cr:reactionInfo>
          </cr:reaction>
        </cr:reactions>
      </w16:ext>
    </w16cex:extLst>
  </w16cex:commentExtensible>
  <w16cex:commentExtensible w16cex:durableId="2C7216B3" w16cex:dateUtc="2026-09-18T19: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0F57DB" w16cid:durableId="4407F39C"/>
  <w16cid:commentId w16cid:paraId="5F110B75" w16cid:durableId="2C7216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60B0F" w14:textId="77777777" w:rsidR="00574C37" w:rsidRDefault="00574C37">
      <w:r>
        <w:separator/>
      </w:r>
    </w:p>
  </w:endnote>
  <w:endnote w:type="continuationSeparator" w:id="0">
    <w:p w14:paraId="1A985F27" w14:textId="77777777" w:rsidR="00574C37" w:rsidRDefault="00574C37">
      <w:r>
        <w:continuationSeparator/>
      </w:r>
    </w:p>
  </w:endnote>
  <w:endnote w:type="continuationNotice" w:id="1">
    <w:p w14:paraId="722CE2E7" w14:textId="77777777" w:rsidR="00574C37" w:rsidRDefault="00574C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TLProkyonST 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D5759" w14:textId="77777777" w:rsidR="00484AA4" w:rsidRDefault="007263A9" w:rsidP="001A412E">
    <w:pPr>
      <w:pStyle w:val="Rodap"/>
      <w:framePr w:wrap="around" w:vAnchor="text" w:hAnchor="margin" w:xAlign="right" w:y="1"/>
      <w:rPr>
        <w:rStyle w:val="Nmerodepgina"/>
      </w:rPr>
    </w:pPr>
    <w:r>
      <w:rPr>
        <w:rStyle w:val="Nmerodepgina"/>
      </w:rPr>
      <w:fldChar w:fldCharType="begin"/>
    </w:r>
    <w:r w:rsidR="00484AA4">
      <w:rPr>
        <w:rStyle w:val="Nmerodepgina"/>
      </w:rPr>
      <w:instrText xml:space="preserve">PAGE  </w:instrText>
    </w:r>
    <w:r>
      <w:rPr>
        <w:rStyle w:val="Nmerodepgina"/>
      </w:rPr>
      <w:fldChar w:fldCharType="separate"/>
    </w:r>
    <w:r w:rsidR="00484AA4">
      <w:rPr>
        <w:rStyle w:val="Nmerodepgina"/>
        <w:noProof/>
      </w:rPr>
      <w:t>3</w:t>
    </w:r>
    <w:r>
      <w:rPr>
        <w:rStyle w:val="Nmerodepgina"/>
      </w:rPr>
      <w:fldChar w:fldCharType="end"/>
    </w:r>
  </w:p>
  <w:p w14:paraId="2DBCF1FC" w14:textId="77777777" w:rsidR="00484AA4" w:rsidRDefault="00484AA4" w:rsidP="00452453">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0141353"/>
      <w:docPartObj>
        <w:docPartGallery w:val="Page Numbers (Bottom of Page)"/>
        <w:docPartUnique/>
      </w:docPartObj>
    </w:sdtPr>
    <w:sdtContent>
      <w:p w14:paraId="5579359E" w14:textId="05940AA4" w:rsidR="00236F60" w:rsidRDefault="00236F60">
        <w:pPr>
          <w:pStyle w:val="Rodap"/>
          <w:jc w:val="right"/>
        </w:pPr>
        <w:r>
          <w:fldChar w:fldCharType="begin"/>
        </w:r>
        <w:r>
          <w:instrText>PAGE   \* MERGEFORMAT</w:instrText>
        </w:r>
        <w:r>
          <w:fldChar w:fldCharType="separate"/>
        </w:r>
        <w:r w:rsidR="00AD0765">
          <w:rPr>
            <w:noProof/>
          </w:rPr>
          <w:t>3</w:t>
        </w:r>
        <w:r>
          <w:fldChar w:fldCharType="end"/>
        </w:r>
      </w:p>
    </w:sdtContent>
  </w:sdt>
  <w:p w14:paraId="598C4662" w14:textId="037909CA" w:rsidR="00484AA4" w:rsidRPr="005E077E" w:rsidRDefault="00484AA4" w:rsidP="0074135D">
    <w:pPr>
      <w:pStyle w:val="Rodap"/>
      <w:jc w:val="center"/>
      <w:rPr>
        <w:rFonts w:ascii="Arial" w:hAnsi="Arial" w:cs="Arial"/>
        <w:sz w:val="15"/>
        <w:szCs w:val="15"/>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333B5" w14:textId="77777777" w:rsidR="00574C37" w:rsidRDefault="00574C37">
      <w:r>
        <w:separator/>
      </w:r>
    </w:p>
  </w:footnote>
  <w:footnote w:type="continuationSeparator" w:id="0">
    <w:p w14:paraId="4179B661" w14:textId="77777777" w:rsidR="00574C37" w:rsidRDefault="00574C37">
      <w:r>
        <w:continuationSeparator/>
      </w:r>
    </w:p>
  </w:footnote>
  <w:footnote w:type="continuationNotice" w:id="1">
    <w:p w14:paraId="0FA61057" w14:textId="77777777" w:rsidR="00574C37" w:rsidRDefault="00574C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C9590" w14:textId="77777777" w:rsidR="00484AA4" w:rsidRPr="00F11A8C" w:rsidRDefault="00484AA4" w:rsidP="00F64ADC">
    <w:pPr>
      <w:spacing w:before="120" w:line="32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2164"/>
      <w:gridCol w:w="1659"/>
      <w:gridCol w:w="3685"/>
      <w:gridCol w:w="2106"/>
    </w:tblGrid>
    <w:tr w:rsidR="007104A4" w:rsidRPr="000B4B15" w14:paraId="20CBE9B6" w14:textId="77777777" w:rsidTr="00350CA3">
      <w:trPr>
        <w:trHeight w:val="567"/>
        <w:jc w:val="center"/>
      </w:trPr>
      <w:tc>
        <w:tcPr>
          <w:tcW w:w="2164" w:type="dxa"/>
          <w:vMerge w:val="restart"/>
          <w:vAlign w:val="center"/>
        </w:tcPr>
        <w:p w14:paraId="0EA32E1A" w14:textId="77777777" w:rsidR="007104A4" w:rsidRPr="000B4B15" w:rsidRDefault="007104A4" w:rsidP="007104A4">
          <w:pPr>
            <w:pStyle w:val="Cabealho"/>
            <w:jc w:val="center"/>
          </w:pPr>
          <w:r w:rsidRPr="000B4B15">
            <w:rPr>
              <w:noProof/>
            </w:rPr>
            <w:drawing>
              <wp:anchor distT="0" distB="0" distL="114300" distR="114300" simplePos="0" relativeHeight="251658240" behindDoc="0" locked="0" layoutInCell="1" allowOverlap="1" wp14:anchorId="712997EE" wp14:editId="63B68463">
                <wp:simplePos x="0" y="0"/>
                <wp:positionH relativeFrom="column">
                  <wp:posOffset>-12700</wp:posOffset>
                </wp:positionH>
                <wp:positionV relativeFrom="paragraph">
                  <wp:posOffset>-87630</wp:posOffset>
                </wp:positionV>
                <wp:extent cx="1256030" cy="892175"/>
                <wp:effectExtent l="0" t="0" r="1270" b="3175"/>
                <wp:wrapThrough wrapText="bothSides">
                  <wp:wrapPolygon edited="0">
                    <wp:start x="0" y="0"/>
                    <wp:lineTo x="0" y="21216"/>
                    <wp:lineTo x="21294" y="21216"/>
                    <wp:lineTo x="21294" y="0"/>
                    <wp:lineTo x="0" y="0"/>
                  </wp:wrapPolygon>
                </wp:wrapThrough>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COMUM-EPE\Logos e Marcas EPE\Logo EPEJPG_300DPI\EPE_Primario5.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6030" cy="8921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344" w:type="dxa"/>
          <w:gridSpan w:val="2"/>
          <w:vAlign w:val="center"/>
        </w:tcPr>
        <w:p w14:paraId="252C446F" w14:textId="77777777" w:rsidR="007104A4" w:rsidRPr="000B4B15" w:rsidRDefault="007104A4" w:rsidP="007104A4">
          <w:pPr>
            <w:pStyle w:val="Cabealho"/>
            <w:jc w:val="center"/>
            <w:rPr>
              <w:rFonts w:ascii="Cambria" w:hAnsi="Cambria"/>
              <w:b/>
              <w:sz w:val="28"/>
              <w:szCs w:val="26"/>
            </w:rPr>
          </w:pPr>
          <w:r w:rsidRPr="000B4B15">
            <w:rPr>
              <w:rFonts w:ascii="Cambria" w:hAnsi="Cambria"/>
              <w:b/>
              <w:sz w:val="28"/>
              <w:szCs w:val="26"/>
            </w:rPr>
            <w:t>NOTA DE ESCLARECIMENTO</w:t>
          </w:r>
        </w:p>
        <w:sdt>
          <w:sdtPr>
            <w:rPr>
              <w:rFonts w:ascii="Tahoma" w:hAnsi="Tahoma" w:cs="Tahoma"/>
              <w:b/>
              <w:sz w:val="20"/>
              <w:szCs w:val="20"/>
              <w:lang w:val="es-ES_tradnl"/>
            </w:rPr>
            <w:alias w:val="Categoria"/>
            <w:tag w:val=""/>
            <w:id w:val="-103817762"/>
            <w:dataBinding w:prefixMappings="xmlns:ns0='http://purl.org/dc/elements/1.1/' xmlns:ns1='http://schemas.openxmlformats.org/package/2006/metadata/core-properties' " w:xpath="/ns1:coreProperties[1]/ns1:category[1]" w:storeItemID="{6C3C8BC8-F283-45AE-878A-BAB7291924A1}"/>
            <w:text/>
          </w:sdtPr>
          <w:sdtContent>
            <w:p w14:paraId="2E4A1783" w14:textId="2944B12D" w:rsidR="007104A4" w:rsidRPr="009D543D" w:rsidRDefault="00206574" w:rsidP="00630A56">
              <w:pPr>
                <w:pStyle w:val="Cabealho"/>
                <w:jc w:val="center"/>
                <w:rPr>
                  <w:b/>
                  <w:lang w:val="es-ES"/>
                </w:rPr>
              </w:pPr>
              <w:r w:rsidRPr="2E01AA25">
                <w:rPr>
                  <w:rFonts w:ascii="Tahoma" w:hAnsi="Tahoma" w:cs="Tahoma"/>
                  <w:b/>
                  <w:sz w:val="20"/>
                  <w:szCs w:val="20"/>
                  <w:lang w:val="es-ES"/>
                </w:rPr>
                <w:t>NE-EPE-DPG-SDB-2026-</w:t>
              </w:r>
              <w:r w:rsidR="008B45D2">
                <w:rPr>
                  <w:rFonts w:ascii="Tahoma" w:hAnsi="Tahoma" w:cs="Tahoma"/>
                  <w:b/>
                  <w:sz w:val="20"/>
                  <w:szCs w:val="20"/>
                  <w:lang w:val="es-ES"/>
                </w:rPr>
                <w:t>XX</w:t>
              </w:r>
            </w:p>
          </w:sdtContent>
        </w:sdt>
      </w:tc>
      <w:tc>
        <w:tcPr>
          <w:tcW w:w="2106" w:type="dxa"/>
        </w:tcPr>
        <w:p w14:paraId="6B74D77A" w14:textId="77777777" w:rsidR="007104A4" w:rsidRPr="000B4B15" w:rsidRDefault="007104A4" w:rsidP="007104A4">
          <w:pPr>
            <w:pStyle w:val="Cabealho"/>
            <w:ind w:left="317"/>
            <w:rPr>
              <w:rFonts w:ascii="Cambria" w:hAnsi="Cambria" w:cs="Tahoma"/>
              <w:sz w:val="22"/>
            </w:rPr>
          </w:pPr>
          <w:r w:rsidRPr="000B4B15">
            <w:rPr>
              <w:rFonts w:ascii="Cambria" w:hAnsi="Cambria" w:cs="Tahoma"/>
              <w:sz w:val="22"/>
            </w:rPr>
            <w:t>Data:</w:t>
          </w:r>
        </w:p>
        <w:p w14:paraId="7C7B49D2" w14:textId="24A4E22E" w:rsidR="007104A4" w:rsidRPr="000B4B15" w:rsidRDefault="00B118F8" w:rsidP="007524C6">
          <w:pPr>
            <w:pStyle w:val="Cabealho"/>
            <w:spacing w:before="80"/>
            <w:ind w:left="317"/>
            <w:rPr>
              <w:b/>
              <w:sz w:val="20"/>
              <w:szCs w:val="20"/>
            </w:rPr>
          </w:pPr>
          <w:r>
            <w:rPr>
              <w:rFonts w:ascii="Cambria" w:hAnsi="Cambria" w:cs="Tahoma"/>
              <w:b/>
              <w:sz w:val="22"/>
            </w:rPr>
            <w:t>05</w:t>
          </w:r>
          <w:r w:rsidR="007104A4" w:rsidRPr="000B4B15">
            <w:rPr>
              <w:rFonts w:ascii="Cambria" w:hAnsi="Cambria" w:cs="Tahoma"/>
              <w:b/>
              <w:sz w:val="22"/>
            </w:rPr>
            <w:t>/</w:t>
          </w:r>
          <w:r>
            <w:rPr>
              <w:rFonts w:ascii="Cambria" w:hAnsi="Cambria" w:cs="Tahoma"/>
              <w:b/>
              <w:sz w:val="22"/>
            </w:rPr>
            <w:t>10</w:t>
          </w:r>
          <w:r w:rsidR="007104A4" w:rsidRPr="000B4B15">
            <w:rPr>
              <w:rFonts w:ascii="Cambria" w:hAnsi="Cambria" w:cs="Tahoma"/>
              <w:b/>
              <w:sz w:val="22"/>
            </w:rPr>
            <w:t>/</w:t>
          </w:r>
          <w:r w:rsidR="00C33006" w:rsidRPr="000B4B15">
            <w:rPr>
              <w:rFonts w:ascii="Cambria" w:hAnsi="Cambria" w:cs="Tahoma"/>
              <w:b/>
              <w:sz w:val="22"/>
            </w:rPr>
            <w:t>202</w:t>
          </w:r>
          <w:r w:rsidR="001B5089">
            <w:rPr>
              <w:rFonts w:ascii="Cambria" w:hAnsi="Cambria" w:cs="Tahoma"/>
              <w:b/>
              <w:sz w:val="22"/>
            </w:rPr>
            <w:t>6</w:t>
          </w:r>
        </w:p>
      </w:tc>
    </w:tr>
    <w:tr w:rsidR="00F96A33" w:rsidRPr="000B4B15" w14:paraId="660A2B5A" w14:textId="77777777" w:rsidTr="00350CA3">
      <w:trPr>
        <w:trHeight w:val="262"/>
        <w:jc w:val="center"/>
      </w:trPr>
      <w:tc>
        <w:tcPr>
          <w:tcW w:w="2164" w:type="dxa"/>
          <w:vMerge/>
        </w:tcPr>
        <w:p w14:paraId="49D1BEA9" w14:textId="77777777" w:rsidR="00F96A33" w:rsidRPr="000B4B15" w:rsidRDefault="00F96A33" w:rsidP="00F96A33">
          <w:pPr>
            <w:pStyle w:val="Cabealho"/>
          </w:pPr>
        </w:p>
      </w:tc>
      <w:tc>
        <w:tcPr>
          <w:tcW w:w="1659" w:type="dxa"/>
          <w:tcBorders>
            <w:right w:val="nil"/>
          </w:tcBorders>
        </w:tcPr>
        <w:p w14:paraId="0E8C478B" w14:textId="77777777" w:rsidR="00F96A33" w:rsidRPr="000B4B15" w:rsidRDefault="00F96A33" w:rsidP="00F96A33">
          <w:pPr>
            <w:ind w:left="133" w:right="-108"/>
            <w:jc w:val="right"/>
            <w:rPr>
              <w:rFonts w:ascii="Cambria" w:hAnsi="Cambria" w:cs="Tahoma"/>
              <w:b/>
              <w:spacing w:val="10"/>
            </w:rPr>
          </w:pPr>
          <w:r w:rsidRPr="000B4B15">
            <w:rPr>
              <w:rFonts w:ascii="Cambria" w:hAnsi="Cambria" w:cs="Tahoma"/>
            </w:rPr>
            <w:t>Para:</w:t>
          </w:r>
        </w:p>
      </w:tc>
      <w:tc>
        <w:tcPr>
          <w:tcW w:w="5791" w:type="dxa"/>
          <w:gridSpan w:val="2"/>
          <w:tcBorders>
            <w:left w:val="nil"/>
          </w:tcBorders>
        </w:tcPr>
        <w:p w14:paraId="36A1536C" w14:textId="6C18293D" w:rsidR="00F96A33" w:rsidRPr="000B4B15" w:rsidRDefault="006F24D1" w:rsidP="00F96A33">
          <w:pPr>
            <w:ind w:left="33"/>
            <w:rPr>
              <w:rFonts w:ascii="Cambria" w:hAnsi="Cambria" w:cs="Tahoma"/>
              <w:spacing w:val="10"/>
            </w:rPr>
          </w:pPr>
          <w:r>
            <w:rPr>
              <w:rFonts w:ascii="Cambria" w:hAnsi="Cambria" w:cs="Tahoma"/>
              <w:spacing w:val="-4"/>
              <w:sz w:val="22"/>
            </w:rPr>
            <w:t>Sociedade</w:t>
          </w:r>
        </w:p>
      </w:tc>
    </w:tr>
    <w:tr w:rsidR="00F96A33" w:rsidRPr="000B4B15" w14:paraId="3A4832F7" w14:textId="77777777" w:rsidTr="00350CA3">
      <w:trPr>
        <w:trHeight w:val="262"/>
        <w:jc w:val="center"/>
      </w:trPr>
      <w:tc>
        <w:tcPr>
          <w:tcW w:w="2164" w:type="dxa"/>
          <w:vMerge/>
        </w:tcPr>
        <w:p w14:paraId="2F2E02B9" w14:textId="77777777" w:rsidR="00F96A33" w:rsidRPr="000B4B15" w:rsidRDefault="00F96A33" w:rsidP="00F96A33">
          <w:pPr>
            <w:pStyle w:val="Cabealho"/>
          </w:pPr>
        </w:p>
      </w:tc>
      <w:tc>
        <w:tcPr>
          <w:tcW w:w="1659" w:type="dxa"/>
          <w:tcBorders>
            <w:right w:val="nil"/>
          </w:tcBorders>
        </w:tcPr>
        <w:p w14:paraId="132B43AF" w14:textId="77777777" w:rsidR="00F96A33" w:rsidRPr="000B4B15" w:rsidRDefault="00F96A33" w:rsidP="00F96A33">
          <w:pPr>
            <w:ind w:left="133" w:right="-108"/>
            <w:jc w:val="right"/>
            <w:rPr>
              <w:rFonts w:ascii="Cambria" w:hAnsi="Cambria" w:cs="Tahoma"/>
              <w:b/>
              <w:spacing w:val="10"/>
            </w:rPr>
          </w:pPr>
          <w:r w:rsidRPr="000B4B15">
            <w:rPr>
              <w:rFonts w:ascii="Cambria" w:hAnsi="Cambria" w:cs="Tahoma"/>
            </w:rPr>
            <w:t>Assunto:</w:t>
          </w:r>
        </w:p>
      </w:tc>
      <w:tc>
        <w:tcPr>
          <w:tcW w:w="5791" w:type="dxa"/>
          <w:gridSpan w:val="2"/>
          <w:tcBorders>
            <w:left w:val="nil"/>
          </w:tcBorders>
        </w:tcPr>
        <w:p w14:paraId="7DD04732" w14:textId="3AAE2DA1" w:rsidR="00F96A33" w:rsidRPr="008D7EB0" w:rsidRDefault="00000000" w:rsidP="00F96A33">
          <w:pPr>
            <w:ind w:left="33"/>
            <w:rPr>
              <w:rFonts w:ascii="Cambria" w:hAnsi="Cambria" w:cs="Tahoma"/>
              <w:spacing w:val="10"/>
              <w:sz w:val="22"/>
              <w:szCs w:val="22"/>
            </w:rPr>
          </w:pPr>
          <w:sdt>
            <w:sdtPr>
              <w:rPr>
                <w:rFonts w:ascii="Cambria" w:hAnsi="Cambria" w:cs="Tahoma"/>
                <w:spacing w:val="10"/>
                <w:sz w:val="22"/>
                <w:szCs w:val="22"/>
              </w:rPr>
              <w:alias w:val="Título"/>
              <w:tag w:val=""/>
              <w:id w:val="62614150"/>
              <w:dataBinding w:prefixMappings="xmlns:ns0='http://purl.org/dc/elements/1.1/' xmlns:ns1='http://schemas.openxmlformats.org/package/2006/metadata/core-properties' " w:xpath="/ns1:coreProperties[1]/ns0:title[1]" w:storeItemID="{6C3C8BC8-F283-45AE-878A-BAB7291924A1}"/>
              <w:text/>
            </w:sdtPr>
            <w:sdtContent>
              <w:r w:rsidR="00780512">
                <w:rPr>
                  <w:rFonts w:ascii="Cambria" w:hAnsi="Cambria" w:cs="Tahoma"/>
                  <w:spacing w:val="10"/>
                  <w:sz w:val="22"/>
                  <w:szCs w:val="22"/>
                </w:rPr>
                <w:t>Programa</w:t>
              </w:r>
              <w:r w:rsidR="00FB272D">
                <w:rPr>
                  <w:rFonts w:ascii="Cambria" w:hAnsi="Cambria" w:cs="Tahoma"/>
                  <w:spacing w:val="10"/>
                  <w:sz w:val="22"/>
                  <w:szCs w:val="22"/>
                </w:rPr>
                <w:t xml:space="preserve"> Nacional de Produção e Uso de Biodiesel </w:t>
              </w:r>
              <w:r w:rsidR="00FB272D" w:rsidRPr="00ED7235">
                <w:rPr>
                  <w:rFonts w:ascii="Cambria" w:hAnsi="Cambria" w:cs="Tahoma"/>
                  <w:spacing w:val="10"/>
                  <w:sz w:val="22"/>
                  <w:szCs w:val="22"/>
                </w:rPr>
                <w:t>(PNPB)</w:t>
              </w:r>
            </w:sdtContent>
          </w:sdt>
          <w:r w:rsidR="008B45D2">
            <w:rPr>
              <w:rFonts w:ascii="Cambria" w:hAnsi="Cambria" w:cs="Tahoma"/>
              <w:spacing w:val="10"/>
              <w:sz w:val="22"/>
              <w:szCs w:val="22"/>
            </w:rPr>
            <w:t xml:space="preserve"> </w:t>
          </w:r>
        </w:p>
      </w:tc>
    </w:tr>
    <w:tr w:rsidR="00F96A33" w:rsidRPr="000B4B15" w14:paraId="37C73ADA" w14:textId="77777777" w:rsidTr="00350CA3">
      <w:trPr>
        <w:trHeight w:val="270"/>
        <w:jc w:val="center"/>
      </w:trPr>
      <w:tc>
        <w:tcPr>
          <w:tcW w:w="2164" w:type="dxa"/>
          <w:vMerge/>
        </w:tcPr>
        <w:p w14:paraId="7ED7F37C" w14:textId="77777777" w:rsidR="00F96A33" w:rsidRPr="000B4B15" w:rsidRDefault="00F96A33" w:rsidP="00F96A33">
          <w:pPr>
            <w:pStyle w:val="Cabealho"/>
          </w:pPr>
        </w:p>
      </w:tc>
      <w:tc>
        <w:tcPr>
          <w:tcW w:w="1659" w:type="dxa"/>
          <w:tcBorders>
            <w:right w:val="nil"/>
          </w:tcBorders>
        </w:tcPr>
        <w:p w14:paraId="3DA4E05F" w14:textId="77777777" w:rsidR="00F96A33" w:rsidRPr="000B4B15" w:rsidRDefault="00F96A33" w:rsidP="00F96A33">
          <w:pPr>
            <w:pStyle w:val="Cabealho"/>
            <w:tabs>
              <w:tab w:val="clear" w:pos="4252"/>
              <w:tab w:val="clear" w:pos="8504"/>
            </w:tabs>
            <w:ind w:left="133" w:right="-108"/>
            <w:jc w:val="right"/>
            <w:rPr>
              <w:rFonts w:ascii="Cambria" w:hAnsi="Cambria" w:cs="Tahoma"/>
              <w:spacing w:val="-4"/>
              <w:sz w:val="22"/>
            </w:rPr>
          </w:pPr>
          <w:r w:rsidRPr="000B4B15">
            <w:rPr>
              <w:rFonts w:ascii="Cambria" w:hAnsi="Cambria" w:cs="Tahoma"/>
              <w:spacing w:val="-4"/>
              <w:sz w:val="22"/>
            </w:rPr>
            <w:t>Autores:</w:t>
          </w:r>
        </w:p>
      </w:tc>
      <w:tc>
        <w:tcPr>
          <w:tcW w:w="5791" w:type="dxa"/>
          <w:gridSpan w:val="2"/>
          <w:tcBorders>
            <w:left w:val="nil"/>
          </w:tcBorders>
          <w:vAlign w:val="center"/>
        </w:tcPr>
        <w:p w14:paraId="79406DF5" w14:textId="730A1724" w:rsidR="00F96A33" w:rsidRPr="005C3740" w:rsidRDefault="00AC3905" w:rsidP="00F96A33">
          <w:pPr>
            <w:ind w:left="33"/>
            <w:rPr>
              <w:rFonts w:ascii="Cambria" w:hAnsi="Cambria" w:cs="Tahoma"/>
              <w:spacing w:val="-4"/>
            </w:rPr>
          </w:pPr>
          <w:r>
            <w:rPr>
              <w:rFonts w:ascii="Cambria" w:hAnsi="Cambria" w:cs="Tahoma"/>
              <w:spacing w:val="-4"/>
              <w:sz w:val="22"/>
            </w:rPr>
            <w:t>Superintendência de Derivados de Petróleo e Biocombustíveis</w:t>
          </w:r>
          <w:r w:rsidR="008B45D2">
            <w:rPr>
              <w:rFonts w:ascii="Cambria" w:hAnsi="Cambria" w:cs="Tahoma"/>
              <w:spacing w:val="-4"/>
              <w:sz w:val="22"/>
            </w:rPr>
            <w:t xml:space="preserve"> (SDB)</w:t>
          </w:r>
        </w:p>
      </w:tc>
    </w:tr>
  </w:tbl>
  <w:p w14:paraId="213516D5" w14:textId="27552D6D" w:rsidR="00C1257D" w:rsidRPr="00D55BAB" w:rsidRDefault="00C1257D" w:rsidP="00D55BAB">
    <w:pPr>
      <w:pStyle w:val="Cabealho"/>
      <w:jc w:val="both"/>
      <w:rPr>
        <w:rFonts w:ascii="Tahoma" w:hAnsi="Tahoma" w:cs="Tahoma"/>
        <w:b/>
        <w:sz w:val="20"/>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AAF52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50D4026"/>
    <w:multiLevelType w:val="multilevel"/>
    <w:tmpl w:val="4638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121F7"/>
    <w:multiLevelType w:val="multilevel"/>
    <w:tmpl w:val="3EE0955C"/>
    <w:lvl w:ilvl="0">
      <w:start w:val="1"/>
      <w:numFmt w:val="decimal"/>
      <w:pStyle w:val="Ttulo1"/>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1AA9557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35704DA"/>
    <w:multiLevelType w:val="hybridMultilevel"/>
    <w:tmpl w:val="95486694"/>
    <w:lvl w:ilvl="0" w:tplc="04160001">
      <w:start w:val="1"/>
      <w:numFmt w:val="bullet"/>
      <w:lvlText w:val=""/>
      <w:lvlJc w:val="left"/>
      <w:pPr>
        <w:ind w:left="1145" w:hanging="360"/>
      </w:pPr>
      <w:rPr>
        <w:rFonts w:ascii="Symbol" w:hAnsi="Symbol" w:hint="default"/>
      </w:rPr>
    </w:lvl>
    <w:lvl w:ilvl="1" w:tplc="04160003">
      <w:start w:val="1"/>
      <w:numFmt w:val="bullet"/>
      <w:lvlText w:val="o"/>
      <w:lvlJc w:val="left"/>
      <w:pPr>
        <w:ind w:left="1865" w:hanging="360"/>
      </w:pPr>
      <w:rPr>
        <w:rFonts w:ascii="Courier New" w:hAnsi="Courier New" w:cs="Courier New" w:hint="default"/>
      </w:rPr>
    </w:lvl>
    <w:lvl w:ilvl="2" w:tplc="04160005" w:tentative="1">
      <w:start w:val="1"/>
      <w:numFmt w:val="bullet"/>
      <w:lvlText w:val=""/>
      <w:lvlJc w:val="left"/>
      <w:pPr>
        <w:ind w:left="2585" w:hanging="360"/>
      </w:pPr>
      <w:rPr>
        <w:rFonts w:ascii="Wingdings" w:hAnsi="Wingdings" w:hint="default"/>
      </w:rPr>
    </w:lvl>
    <w:lvl w:ilvl="3" w:tplc="04160001" w:tentative="1">
      <w:start w:val="1"/>
      <w:numFmt w:val="bullet"/>
      <w:lvlText w:val=""/>
      <w:lvlJc w:val="left"/>
      <w:pPr>
        <w:ind w:left="3305" w:hanging="360"/>
      </w:pPr>
      <w:rPr>
        <w:rFonts w:ascii="Symbol" w:hAnsi="Symbol" w:hint="default"/>
      </w:rPr>
    </w:lvl>
    <w:lvl w:ilvl="4" w:tplc="04160003" w:tentative="1">
      <w:start w:val="1"/>
      <w:numFmt w:val="bullet"/>
      <w:lvlText w:val="o"/>
      <w:lvlJc w:val="left"/>
      <w:pPr>
        <w:ind w:left="4025" w:hanging="360"/>
      </w:pPr>
      <w:rPr>
        <w:rFonts w:ascii="Courier New" w:hAnsi="Courier New" w:cs="Courier New" w:hint="default"/>
      </w:rPr>
    </w:lvl>
    <w:lvl w:ilvl="5" w:tplc="04160005" w:tentative="1">
      <w:start w:val="1"/>
      <w:numFmt w:val="bullet"/>
      <w:lvlText w:val=""/>
      <w:lvlJc w:val="left"/>
      <w:pPr>
        <w:ind w:left="4745" w:hanging="360"/>
      </w:pPr>
      <w:rPr>
        <w:rFonts w:ascii="Wingdings" w:hAnsi="Wingdings" w:hint="default"/>
      </w:rPr>
    </w:lvl>
    <w:lvl w:ilvl="6" w:tplc="04160001" w:tentative="1">
      <w:start w:val="1"/>
      <w:numFmt w:val="bullet"/>
      <w:lvlText w:val=""/>
      <w:lvlJc w:val="left"/>
      <w:pPr>
        <w:ind w:left="5465" w:hanging="360"/>
      </w:pPr>
      <w:rPr>
        <w:rFonts w:ascii="Symbol" w:hAnsi="Symbol" w:hint="default"/>
      </w:rPr>
    </w:lvl>
    <w:lvl w:ilvl="7" w:tplc="04160003" w:tentative="1">
      <w:start w:val="1"/>
      <w:numFmt w:val="bullet"/>
      <w:lvlText w:val="o"/>
      <w:lvlJc w:val="left"/>
      <w:pPr>
        <w:ind w:left="6185" w:hanging="360"/>
      </w:pPr>
      <w:rPr>
        <w:rFonts w:ascii="Courier New" w:hAnsi="Courier New" w:cs="Courier New" w:hint="default"/>
      </w:rPr>
    </w:lvl>
    <w:lvl w:ilvl="8" w:tplc="04160005" w:tentative="1">
      <w:start w:val="1"/>
      <w:numFmt w:val="bullet"/>
      <w:lvlText w:val=""/>
      <w:lvlJc w:val="left"/>
      <w:pPr>
        <w:ind w:left="6905" w:hanging="360"/>
      </w:pPr>
      <w:rPr>
        <w:rFonts w:ascii="Wingdings" w:hAnsi="Wingdings" w:hint="default"/>
      </w:rPr>
    </w:lvl>
  </w:abstractNum>
  <w:abstractNum w:abstractNumId="5" w15:restartNumberingAfterBreak="0">
    <w:nsid w:val="27F226EF"/>
    <w:multiLevelType w:val="hybridMultilevel"/>
    <w:tmpl w:val="BB1E1914"/>
    <w:lvl w:ilvl="0" w:tplc="04160001">
      <w:start w:val="1"/>
      <w:numFmt w:val="bullet"/>
      <w:lvlText w:val=""/>
      <w:lvlJc w:val="left"/>
      <w:pPr>
        <w:ind w:left="1230" w:hanging="360"/>
      </w:pPr>
      <w:rPr>
        <w:rFonts w:ascii="Symbol" w:hAnsi="Symbol" w:hint="default"/>
      </w:rPr>
    </w:lvl>
    <w:lvl w:ilvl="1" w:tplc="04160003" w:tentative="1">
      <w:start w:val="1"/>
      <w:numFmt w:val="bullet"/>
      <w:lvlText w:val="o"/>
      <w:lvlJc w:val="left"/>
      <w:pPr>
        <w:ind w:left="1950" w:hanging="360"/>
      </w:pPr>
      <w:rPr>
        <w:rFonts w:ascii="Courier New" w:hAnsi="Courier New" w:cs="Courier New" w:hint="default"/>
      </w:rPr>
    </w:lvl>
    <w:lvl w:ilvl="2" w:tplc="04160005" w:tentative="1">
      <w:start w:val="1"/>
      <w:numFmt w:val="bullet"/>
      <w:lvlText w:val=""/>
      <w:lvlJc w:val="left"/>
      <w:pPr>
        <w:ind w:left="2670" w:hanging="360"/>
      </w:pPr>
      <w:rPr>
        <w:rFonts w:ascii="Wingdings" w:hAnsi="Wingdings" w:hint="default"/>
      </w:rPr>
    </w:lvl>
    <w:lvl w:ilvl="3" w:tplc="04160001" w:tentative="1">
      <w:start w:val="1"/>
      <w:numFmt w:val="bullet"/>
      <w:lvlText w:val=""/>
      <w:lvlJc w:val="left"/>
      <w:pPr>
        <w:ind w:left="3390" w:hanging="360"/>
      </w:pPr>
      <w:rPr>
        <w:rFonts w:ascii="Symbol" w:hAnsi="Symbol" w:hint="default"/>
      </w:rPr>
    </w:lvl>
    <w:lvl w:ilvl="4" w:tplc="04160003" w:tentative="1">
      <w:start w:val="1"/>
      <w:numFmt w:val="bullet"/>
      <w:lvlText w:val="o"/>
      <w:lvlJc w:val="left"/>
      <w:pPr>
        <w:ind w:left="4110" w:hanging="360"/>
      </w:pPr>
      <w:rPr>
        <w:rFonts w:ascii="Courier New" w:hAnsi="Courier New" w:cs="Courier New" w:hint="default"/>
      </w:rPr>
    </w:lvl>
    <w:lvl w:ilvl="5" w:tplc="04160005" w:tentative="1">
      <w:start w:val="1"/>
      <w:numFmt w:val="bullet"/>
      <w:lvlText w:val=""/>
      <w:lvlJc w:val="left"/>
      <w:pPr>
        <w:ind w:left="4830" w:hanging="360"/>
      </w:pPr>
      <w:rPr>
        <w:rFonts w:ascii="Wingdings" w:hAnsi="Wingdings" w:hint="default"/>
      </w:rPr>
    </w:lvl>
    <w:lvl w:ilvl="6" w:tplc="04160001" w:tentative="1">
      <w:start w:val="1"/>
      <w:numFmt w:val="bullet"/>
      <w:lvlText w:val=""/>
      <w:lvlJc w:val="left"/>
      <w:pPr>
        <w:ind w:left="5550" w:hanging="360"/>
      </w:pPr>
      <w:rPr>
        <w:rFonts w:ascii="Symbol" w:hAnsi="Symbol" w:hint="default"/>
      </w:rPr>
    </w:lvl>
    <w:lvl w:ilvl="7" w:tplc="04160003" w:tentative="1">
      <w:start w:val="1"/>
      <w:numFmt w:val="bullet"/>
      <w:lvlText w:val="o"/>
      <w:lvlJc w:val="left"/>
      <w:pPr>
        <w:ind w:left="6270" w:hanging="360"/>
      </w:pPr>
      <w:rPr>
        <w:rFonts w:ascii="Courier New" w:hAnsi="Courier New" w:cs="Courier New" w:hint="default"/>
      </w:rPr>
    </w:lvl>
    <w:lvl w:ilvl="8" w:tplc="04160005" w:tentative="1">
      <w:start w:val="1"/>
      <w:numFmt w:val="bullet"/>
      <w:lvlText w:val=""/>
      <w:lvlJc w:val="left"/>
      <w:pPr>
        <w:ind w:left="6990" w:hanging="360"/>
      </w:pPr>
      <w:rPr>
        <w:rFonts w:ascii="Wingdings" w:hAnsi="Wingdings" w:hint="default"/>
      </w:rPr>
    </w:lvl>
  </w:abstractNum>
  <w:abstractNum w:abstractNumId="6" w15:restartNumberingAfterBreak="0">
    <w:nsid w:val="2895C61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CBE4184"/>
    <w:multiLevelType w:val="multilevel"/>
    <w:tmpl w:val="5CC68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7F6199"/>
    <w:multiLevelType w:val="hybridMultilevel"/>
    <w:tmpl w:val="CC602D9E"/>
    <w:lvl w:ilvl="0" w:tplc="04160001">
      <w:start w:val="1"/>
      <w:numFmt w:val="bullet"/>
      <w:lvlText w:val=""/>
      <w:lvlJc w:val="left"/>
      <w:pPr>
        <w:ind w:left="1230" w:hanging="360"/>
      </w:pPr>
      <w:rPr>
        <w:rFonts w:ascii="Symbol" w:hAnsi="Symbol" w:hint="default"/>
      </w:rPr>
    </w:lvl>
    <w:lvl w:ilvl="1" w:tplc="04160003" w:tentative="1">
      <w:start w:val="1"/>
      <w:numFmt w:val="bullet"/>
      <w:lvlText w:val="o"/>
      <w:lvlJc w:val="left"/>
      <w:pPr>
        <w:ind w:left="1950" w:hanging="360"/>
      </w:pPr>
      <w:rPr>
        <w:rFonts w:ascii="Courier New" w:hAnsi="Courier New" w:cs="Courier New" w:hint="default"/>
      </w:rPr>
    </w:lvl>
    <w:lvl w:ilvl="2" w:tplc="04160005" w:tentative="1">
      <w:start w:val="1"/>
      <w:numFmt w:val="bullet"/>
      <w:lvlText w:val=""/>
      <w:lvlJc w:val="left"/>
      <w:pPr>
        <w:ind w:left="2670" w:hanging="360"/>
      </w:pPr>
      <w:rPr>
        <w:rFonts w:ascii="Wingdings" w:hAnsi="Wingdings" w:hint="default"/>
      </w:rPr>
    </w:lvl>
    <w:lvl w:ilvl="3" w:tplc="04160001" w:tentative="1">
      <w:start w:val="1"/>
      <w:numFmt w:val="bullet"/>
      <w:lvlText w:val=""/>
      <w:lvlJc w:val="left"/>
      <w:pPr>
        <w:ind w:left="3390" w:hanging="360"/>
      </w:pPr>
      <w:rPr>
        <w:rFonts w:ascii="Symbol" w:hAnsi="Symbol" w:hint="default"/>
      </w:rPr>
    </w:lvl>
    <w:lvl w:ilvl="4" w:tplc="04160003" w:tentative="1">
      <w:start w:val="1"/>
      <w:numFmt w:val="bullet"/>
      <w:lvlText w:val="o"/>
      <w:lvlJc w:val="left"/>
      <w:pPr>
        <w:ind w:left="4110" w:hanging="360"/>
      </w:pPr>
      <w:rPr>
        <w:rFonts w:ascii="Courier New" w:hAnsi="Courier New" w:cs="Courier New" w:hint="default"/>
      </w:rPr>
    </w:lvl>
    <w:lvl w:ilvl="5" w:tplc="04160005" w:tentative="1">
      <w:start w:val="1"/>
      <w:numFmt w:val="bullet"/>
      <w:lvlText w:val=""/>
      <w:lvlJc w:val="left"/>
      <w:pPr>
        <w:ind w:left="4830" w:hanging="360"/>
      </w:pPr>
      <w:rPr>
        <w:rFonts w:ascii="Wingdings" w:hAnsi="Wingdings" w:hint="default"/>
      </w:rPr>
    </w:lvl>
    <w:lvl w:ilvl="6" w:tplc="04160001" w:tentative="1">
      <w:start w:val="1"/>
      <w:numFmt w:val="bullet"/>
      <w:lvlText w:val=""/>
      <w:lvlJc w:val="left"/>
      <w:pPr>
        <w:ind w:left="5550" w:hanging="360"/>
      </w:pPr>
      <w:rPr>
        <w:rFonts w:ascii="Symbol" w:hAnsi="Symbol" w:hint="default"/>
      </w:rPr>
    </w:lvl>
    <w:lvl w:ilvl="7" w:tplc="04160003" w:tentative="1">
      <w:start w:val="1"/>
      <w:numFmt w:val="bullet"/>
      <w:lvlText w:val="o"/>
      <w:lvlJc w:val="left"/>
      <w:pPr>
        <w:ind w:left="6270" w:hanging="360"/>
      </w:pPr>
      <w:rPr>
        <w:rFonts w:ascii="Courier New" w:hAnsi="Courier New" w:cs="Courier New" w:hint="default"/>
      </w:rPr>
    </w:lvl>
    <w:lvl w:ilvl="8" w:tplc="04160005" w:tentative="1">
      <w:start w:val="1"/>
      <w:numFmt w:val="bullet"/>
      <w:lvlText w:val=""/>
      <w:lvlJc w:val="left"/>
      <w:pPr>
        <w:ind w:left="6990" w:hanging="360"/>
      </w:pPr>
      <w:rPr>
        <w:rFonts w:ascii="Wingdings" w:hAnsi="Wingdings" w:hint="default"/>
      </w:rPr>
    </w:lvl>
  </w:abstractNum>
  <w:abstractNum w:abstractNumId="9" w15:restartNumberingAfterBreak="0">
    <w:nsid w:val="44FC3A4F"/>
    <w:multiLevelType w:val="hybridMultilevel"/>
    <w:tmpl w:val="B3C6699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76A72B4"/>
    <w:multiLevelType w:val="multilevel"/>
    <w:tmpl w:val="5A388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EB79E8"/>
    <w:multiLevelType w:val="hybridMultilevel"/>
    <w:tmpl w:val="247E3FE2"/>
    <w:lvl w:ilvl="0" w:tplc="04160001">
      <w:start w:val="1"/>
      <w:numFmt w:val="bullet"/>
      <w:lvlText w:val=""/>
      <w:lvlJc w:val="left"/>
      <w:pPr>
        <w:ind w:left="1230" w:hanging="360"/>
      </w:pPr>
      <w:rPr>
        <w:rFonts w:ascii="Symbol" w:hAnsi="Symbol" w:hint="default"/>
      </w:rPr>
    </w:lvl>
    <w:lvl w:ilvl="1" w:tplc="04160003" w:tentative="1">
      <w:start w:val="1"/>
      <w:numFmt w:val="bullet"/>
      <w:lvlText w:val="o"/>
      <w:lvlJc w:val="left"/>
      <w:pPr>
        <w:ind w:left="1950" w:hanging="360"/>
      </w:pPr>
      <w:rPr>
        <w:rFonts w:ascii="Courier New" w:hAnsi="Courier New" w:cs="Courier New" w:hint="default"/>
      </w:rPr>
    </w:lvl>
    <w:lvl w:ilvl="2" w:tplc="04160005" w:tentative="1">
      <w:start w:val="1"/>
      <w:numFmt w:val="bullet"/>
      <w:lvlText w:val=""/>
      <w:lvlJc w:val="left"/>
      <w:pPr>
        <w:ind w:left="2670" w:hanging="360"/>
      </w:pPr>
      <w:rPr>
        <w:rFonts w:ascii="Wingdings" w:hAnsi="Wingdings" w:hint="default"/>
      </w:rPr>
    </w:lvl>
    <w:lvl w:ilvl="3" w:tplc="04160001" w:tentative="1">
      <w:start w:val="1"/>
      <w:numFmt w:val="bullet"/>
      <w:lvlText w:val=""/>
      <w:lvlJc w:val="left"/>
      <w:pPr>
        <w:ind w:left="3390" w:hanging="360"/>
      </w:pPr>
      <w:rPr>
        <w:rFonts w:ascii="Symbol" w:hAnsi="Symbol" w:hint="default"/>
      </w:rPr>
    </w:lvl>
    <w:lvl w:ilvl="4" w:tplc="04160003" w:tentative="1">
      <w:start w:val="1"/>
      <w:numFmt w:val="bullet"/>
      <w:lvlText w:val="o"/>
      <w:lvlJc w:val="left"/>
      <w:pPr>
        <w:ind w:left="4110" w:hanging="360"/>
      </w:pPr>
      <w:rPr>
        <w:rFonts w:ascii="Courier New" w:hAnsi="Courier New" w:cs="Courier New" w:hint="default"/>
      </w:rPr>
    </w:lvl>
    <w:lvl w:ilvl="5" w:tplc="04160005" w:tentative="1">
      <w:start w:val="1"/>
      <w:numFmt w:val="bullet"/>
      <w:lvlText w:val=""/>
      <w:lvlJc w:val="left"/>
      <w:pPr>
        <w:ind w:left="4830" w:hanging="360"/>
      </w:pPr>
      <w:rPr>
        <w:rFonts w:ascii="Wingdings" w:hAnsi="Wingdings" w:hint="default"/>
      </w:rPr>
    </w:lvl>
    <w:lvl w:ilvl="6" w:tplc="04160001" w:tentative="1">
      <w:start w:val="1"/>
      <w:numFmt w:val="bullet"/>
      <w:lvlText w:val=""/>
      <w:lvlJc w:val="left"/>
      <w:pPr>
        <w:ind w:left="5550" w:hanging="360"/>
      </w:pPr>
      <w:rPr>
        <w:rFonts w:ascii="Symbol" w:hAnsi="Symbol" w:hint="default"/>
      </w:rPr>
    </w:lvl>
    <w:lvl w:ilvl="7" w:tplc="04160003" w:tentative="1">
      <w:start w:val="1"/>
      <w:numFmt w:val="bullet"/>
      <w:lvlText w:val="o"/>
      <w:lvlJc w:val="left"/>
      <w:pPr>
        <w:ind w:left="6270" w:hanging="360"/>
      </w:pPr>
      <w:rPr>
        <w:rFonts w:ascii="Courier New" w:hAnsi="Courier New" w:cs="Courier New" w:hint="default"/>
      </w:rPr>
    </w:lvl>
    <w:lvl w:ilvl="8" w:tplc="04160005" w:tentative="1">
      <w:start w:val="1"/>
      <w:numFmt w:val="bullet"/>
      <w:lvlText w:val=""/>
      <w:lvlJc w:val="left"/>
      <w:pPr>
        <w:ind w:left="6990" w:hanging="360"/>
      </w:pPr>
      <w:rPr>
        <w:rFonts w:ascii="Wingdings" w:hAnsi="Wingdings" w:hint="default"/>
      </w:rPr>
    </w:lvl>
  </w:abstractNum>
  <w:abstractNum w:abstractNumId="12" w15:restartNumberingAfterBreak="0">
    <w:nsid w:val="55821192"/>
    <w:multiLevelType w:val="multilevel"/>
    <w:tmpl w:val="672A2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F6525D"/>
    <w:multiLevelType w:val="hybridMultilevel"/>
    <w:tmpl w:val="B3C6699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6884666D"/>
    <w:multiLevelType w:val="hybridMultilevel"/>
    <w:tmpl w:val="EAEAC48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9180017"/>
    <w:multiLevelType w:val="hybridMultilevel"/>
    <w:tmpl w:val="1BF2635E"/>
    <w:lvl w:ilvl="0" w:tplc="04160001">
      <w:start w:val="1"/>
      <w:numFmt w:val="bullet"/>
      <w:lvlText w:val=""/>
      <w:lvlJc w:val="left"/>
      <w:pPr>
        <w:ind w:left="1230" w:hanging="360"/>
      </w:pPr>
      <w:rPr>
        <w:rFonts w:ascii="Symbol" w:hAnsi="Symbol" w:hint="default"/>
      </w:rPr>
    </w:lvl>
    <w:lvl w:ilvl="1" w:tplc="04160003" w:tentative="1">
      <w:start w:val="1"/>
      <w:numFmt w:val="bullet"/>
      <w:lvlText w:val="o"/>
      <w:lvlJc w:val="left"/>
      <w:pPr>
        <w:ind w:left="1950" w:hanging="360"/>
      </w:pPr>
      <w:rPr>
        <w:rFonts w:ascii="Courier New" w:hAnsi="Courier New" w:cs="Courier New" w:hint="default"/>
      </w:rPr>
    </w:lvl>
    <w:lvl w:ilvl="2" w:tplc="04160005" w:tentative="1">
      <w:start w:val="1"/>
      <w:numFmt w:val="bullet"/>
      <w:lvlText w:val=""/>
      <w:lvlJc w:val="left"/>
      <w:pPr>
        <w:ind w:left="2670" w:hanging="360"/>
      </w:pPr>
      <w:rPr>
        <w:rFonts w:ascii="Wingdings" w:hAnsi="Wingdings" w:hint="default"/>
      </w:rPr>
    </w:lvl>
    <w:lvl w:ilvl="3" w:tplc="04160001" w:tentative="1">
      <w:start w:val="1"/>
      <w:numFmt w:val="bullet"/>
      <w:lvlText w:val=""/>
      <w:lvlJc w:val="left"/>
      <w:pPr>
        <w:ind w:left="3390" w:hanging="360"/>
      </w:pPr>
      <w:rPr>
        <w:rFonts w:ascii="Symbol" w:hAnsi="Symbol" w:hint="default"/>
      </w:rPr>
    </w:lvl>
    <w:lvl w:ilvl="4" w:tplc="04160003" w:tentative="1">
      <w:start w:val="1"/>
      <w:numFmt w:val="bullet"/>
      <w:lvlText w:val="o"/>
      <w:lvlJc w:val="left"/>
      <w:pPr>
        <w:ind w:left="4110" w:hanging="360"/>
      </w:pPr>
      <w:rPr>
        <w:rFonts w:ascii="Courier New" w:hAnsi="Courier New" w:cs="Courier New" w:hint="default"/>
      </w:rPr>
    </w:lvl>
    <w:lvl w:ilvl="5" w:tplc="04160005" w:tentative="1">
      <w:start w:val="1"/>
      <w:numFmt w:val="bullet"/>
      <w:lvlText w:val=""/>
      <w:lvlJc w:val="left"/>
      <w:pPr>
        <w:ind w:left="4830" w:hanging="360"/>
      </w:pPr>
      <w:rPr>
        <w:rFonts w:ascii="Wingdings" w:hAnsi="Wingdings" w:hint="default"/>
      </w:rPr>
    </w:lvl>
    <w:lvl w:ilvl="6" w:tplc="04160001" w:tentative="1">
      <w:start w:val="1"/>
      <w:numFmt w:val="bullet"/>
      <w:lvlText w:val=""/>
      <w:lvlJc w:val="left"/>
      <w:pPr>
        <w:ind w:left="5550" w:hanging="360"/>
      </w:pPr>
      <w:rPr>
        <w:rFonts w:ascii="Symbol" w:hAnsi="Symbol" w:hint="default"/>
      </w:rPr>
    </w:lvl>
    <w:lvl w:ilvl="7" w:tplc="04160003" w:tentative="1">
      <w:start w:val="1"/>
      <w:numFmt w:val="bullet"/>
      <w:lvlText w:val="o"/>
      <w:lvlJc w:val="left"/>
      <w:pPr>
        <w:ind w:left="6270" w:hanging="360"/>
      </w:pPr>
      <w:rPr>
        <w:rFonts w:ascii="Courier New" w:hAnsi="Courier New" w:cs="Courier New" w:hint="default"/>
      </w:rPr>
    </w:lvl>
    <w:lvl w:ilvl="8" w:tplc="04160005" w:tentative="1">
      <w:start w:val="1"/>
      <w:numFmt w:val="bullet"/>
      <w:lvlText w:val=""/>
      <w:lvlJc w:val="left"/>
      <w:pPr>
        <w:ind w:left="6990" w:hanging="360"/>
      </w:pPr>
      <w:rPr>
        <w:rFonts w:ascii="Wingdings" w:hAnsi="Wingdings" w:hint="default"/>
      </w:rPr>
    </w:lvl>
  </w:abstractNum>
  <w:abstractNum w:abstractNumId="16" w15:restartNumberingAfterBreak="0">
    <w:nsid w:val="6B060DE7"/>
    <w:multiLevelType w:val="multilevel"/>
    <w:tmpl w:val="1CDA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63105C"/>
    <w:multiLevelType w:val="hybridMultilevel"/>
    <w:tmpl w:val="BF18B4A8"/>
    <w:lvl w:ilvl="0" w:tplc="04160001">
      <w:start w:val="1"/>
      <w:numFmt w:val="bullet"/>
      <w:lvlText w:val=""/>
      <w:lvlJc w:val="left"/>
      <w:pPr>
        <w:ind w:left="1230" w:hanging="360"/>
      </w:pPr>
      <w:rPr>
        <w:rFonts w:ascii="Symbol" w:hAnsi="Symbol" w:hint="default"/>
      </w:rPr>
    </w:lvl>
    <w:lvl w:ilvl="1" w:tplc="04160003" w:tentative="1">
      <w:start w:val="1"/>
      <w:numFmt w:val="bullet"/>
      <w:lvlText w:val="o"/>
      <w:lvlJc w:val="left"/>
      <w:pPr>
        <w:ind w:left="1950" w:hanging="360"/>
      </w:pPr>
      <w:rPr>
        <w:rFonts w:ascii="Courier New" w:hAnsi="Courier New" w:cs="Courier New" w:hint="default"/>
      </w:rPr>
    </w:lvl>
    <w:lvl w:ilvl="2" w:tplc="04160005" w:tentative="1">
      <w:start w:val="1"/>
      <w:numFmt w:val="bullet"/>
      <w:lvlText w:val=""/>
      <w:lvlJc w:val="left"/>
      <w:pPr>
        <w:ind w:left="2670" w:hanging="360"/>
      </w:pPr>
      <w:rPr>
        <w:rFonts w:ascii="Wingdings" w:hAnsi="Wingdings" w:hint="default"/>
      </w:rPr>
    </w:lvl>
    <w:lvl w:ilvl="3" w:tplc="04160001" w:tentative="1">
      <w:start w:val="1"/>
      <w:numFmt w:val="bullet"/>
      <w:lvlText w:val=""/>
      <w:lvlJc w:val="left"/>
      <w:pPr>
        <w:ind w:left="3390" w:hanging="360"/>
      </w:pPr>
      <w:rPr>
        <w:rFonts w:ascii="Symbol" w:hAnsi="Symbol" w:hint="default"/>
      </w:rPr>
    </w:lvl>
    <w:lvl w:ilvl="4" w:tplc="04160003" w:tentative="1">
      <w:start w:val="1"/>
      <w:numFmt w:val="bullet"/>
      <w:lvlText w:val="o"/>
      <w:lvlJc w:val="left"/>
      <w:pPr>
        <w:ind w:left="4110" w:hanging="360"/>
      </w:pPr>
      <w:rPr>
        <w:rFonts w:ascii="Courier New" w:hAnsi="Courier New" w:cs="Courier New" w:hint="default"/>
      </w:rPr>
    </w:lvl>
    <w:lvl w:ilvl="5" w:tplc="04160005" w:tentative="1">
      <w:start w:val="1"/>
      <w:numFmt w:val="bullet"/>
      <w:lvlText w:val=""/>
      <w:lvlJc w:val="left"/>
      <w:pPr>
        <w:ind w:left="4830" w:hanging="360"/>
      </w:pPr>
      <w:rPr>
        <w:rFonts w:ascii="Wingdings" w:hAnsi="Wingdings" w:hint="default"/>
      </w:rPr>
    </w:lvl>
    <w:lvl w:ilvl="6" w:tplc="04160001" w:tentative="1">
      <w:start w:val="1"/>
      <w:numFmt w:val="bullet"/>
      <w:lvlText w:val=""/>
      <w:lvlJc w:val="left"/>
      <w:pPr>
        <w:ind w:left="5550" w:hanging="360"/>
      </w:pPr>
      <w:rPr>
        <w:rFonts w:ascii="Symbol" w:hAnsi="Symbol" w:hint="default"/>
      </w:rPr>
    </w:lvl>
    <w:lvl w:ilvl="7" w:tplc="04160003" w:tentative="1">
      <w:start w:val="1"/>
      <w:numFmt w:val="bullet"/>
      <w:lvlText w:val="o"/>
      <w:lvlJc w:val="left"/>
      <w:pPr>
        <w:ind w:left="6270" w:hanging="360"/>
      </w:pPr>
      <w:rPr>
        <w:rFonts w:ascii="Courier New" w:hAnsi="Courier New" w:cs="Courier New" w:hint="default"/>
      </w:rPr>
    </w:lvl>
    <w:lvl w:ilvl="8" w:tplc="04160005" w:tentative="1">
      <w:start w:val="1"/>
      <w:numFmt w:val="bullet"/>
      <w:lvlText w:val=""/>
      <w:lvlJc w:val="left"/>
      <w:pPr>
        <w:ind w:left="6990" w:hanging="360"/>
      </w:pPr>
      <w:rPr>
        <w:rFonts w:ascii="Wingdings" w:hAnsi="Wingdings" w:hint="default"/>
      </w:rPr>
    </w:lvl>
  </w:abstractNum>
  <w:abstractNum w:abstractNumId="18" w15:restartNumberingAfterBreak="0">
    <w:nsid w:val="6E934B39"/>
    <w:multiLevelType w:val="multilevel"/>
    <w:tmpl w:val="3462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7B39BF"/>
    <w:multiLevelType w:val="hybridMultilevel"/>
    <w:tmpl w:val="61BE15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767774120">
    <w:abstractNumId w:val="2"/>
  </w:num>
  <w:num w:numId="2" w16cid:durableId="196360972">
    <w:abstractNumId w:val="17"/>
  </w:num>
  <w:num w:numId="3" w16cid:durableId="474952309">
    <w:abstractNumId w:val="19"/>
  </w:num>
  <w:num w:numId="4" w16cid:durableId="1095444700">
    <w:abstractNumId w:val="18"/>
  </w:num>
  <w:num w:numId="5" w16cid:durableId="929040915">
    <w:abstractNumId w:val="0"/>
  </w:num>
  <w:num w:numId="6" w16cid:durableId="1185367228">
    <w:abstractNumId w:val="6"/>
  </w:num>
  <w:num w:numId="7" w16cid:durableId="1090389966">
    <w:abstractNumId w:val="3"/>
  </w:num>
  <w:num w:numId="8" w16cid:durableId="1666396188">
    <w:abstractNumId w:val="9"/>
  </w:num>
  <w:num w:numId="9" w16cid:durableId="872813942">
    <w:abstractNumId w:val="10"/>
  </w:num>
  <w:num w:numId="10" w16cid:durableId="720831624">
    <w:abstractNumId w:val="7"/>
  </w:num>
  <w:num w:numId="11" w16cid:durableId="1833446365">
    <w:abstractNumId w:val="12"/>
  </w:num>
  <w:num w:numId="12" w16cid:durableId="517351588">
    <w:abstractNumId w:val="16"/>
  </w:num>
  <w:num w:numId="13" w16cid:durableId="34278627">
    <w:abstractNumId w:val="1"/>
  </w:num>
  <w:num w:numId="14" w16cid:durableId="461771417">
    <w:abstractNumId w:val="4"/>
  </w:num>
  <w:num w:numId="15" w16cid:durableId="103889075">
    <w:abstractNumId w:val="13"/>
  </w:num>
  <w:num w:numId="16" w16cid:durableId="1350567915">
    <w:abstractNumId w:val="14"/>
  </w:num>
  <w:num w:numId="17" w16cid:durableId="2056074775">
    <w:abstractNumId w:val="11"/>
  </w:num>
  <w:num w:numId="18" w16cid:durableId="1381398253">
    <w:abstractNumId w:val="5"/>
  </w:num>
  <w:num w:numId="19" w16cid:durableId="2032098322">
    <w:abstractNumId w:val="15"/>
  </w:num>
  <w:num w:numId="20" w16cid:durableId="418598434">
    <w:abstractNumId w:val="8"/>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elle Borher de Andrade">
    <w15:presenceInfo w15:providerId="AD" w15:userId="S::danielle.borher@epe.gov.br::aeb4ed72-ef7e-466a-a934-9a9fd5761857"/>
  </w15:person>
  <w15:person w15:author="Rachel Martins Henriques [2]">
    <w15:presenceInfo w15:providerId="None" w15:userId="Rachel Martins Henriqu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0" w:nlCheck="1" w:checkStyle="0"/>
  <w:activeWritingStyle w:appName="MSWord" w:lang="pt-BR"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7BF"/>
    <w:rsid w:val="00000D4A"/>
    <w:rsid w:val="00001352"/>
    <w:rsid w:val="0000373C"/>
    <w:rsid w:val="00003A02"/>
    <w:rsid w:val="00003FBC"/>
    <w:rsid w:val="00004C7C"/>
    <w:rsid w:val="00004D63"/>
    <w:rsid w:val="000056B8"/>
    <w:rsid w:val="00006674"/>
    <w:rsid w:val="000106F7"/>
    <w:rsid w:val="000110F9"/>
    <w:rsid w:val="0001146C"/>
    <w:rsid w:val="000130DC"/>
    <w:rsid w:val="000142E9"/>
    <w:rsid w:val="000151F4"/>
    <w:rsid w:val="000163F3"/>
    <w:rsid w:val="000167A5"/>
    <w:rsid w:val="00016A3F"/>
    <w:rsid w:val="00017EFC"/>
    <w:rsid w:val="00020E3A"/>
    <w:rsid w:val="00021292"/>
    <w:rsid w:val="000215A9"/>
    <w:rsid w:val="00021BA6"/>
    <w:rsid w:val="000222E3"/>
    <w:rsid w:val="000235ED"/>
    <w:rsid w:val="00024903"/>
    <w:rsid w:val="00024B3F"/>
    <w:rsid w:val="00024D4E"/>
    <w:rsid w:val="00024DCC"/>
    <w:rsid w:val="000251D7"/>
    <w:rsid w:val="00025236"/>
    <w:rsid w:val="00025A42"/>
    <w:rsid w:val="0002732D"/>
    <w:rsid w:val="00030E5D"/>
    <w:rsid w:val="00031A7B"/>
    <w:rsid w:val="000324CF"/>
    <w:rsid w:val="00032E0E"/>
    <w:rsid w:val="0003303E"/>
    <w:rsid w:val="0003490F"/>
    <w:rsid w:val="00034F36"/>
    <w:rsid w:val="00035F1A"/>
    <w:rsid w:val="00036260"/>
    <w:rsid w:val="00037A1E"/>
    <w:rsid w:val="0004035E"/>
    <w:rsid w:val="00040A1D"/>
    <w:rsid w:val="00040C77"/>
    <w:rsid w:val="00040D94"/>
    <w:rsid w:val="00041B5A"/>
    <w:rsid w:val="0004336B"/>
    <w:rsid w:val="00043707"/>
    <w:rsid w:val="000439F9"/>
    <w:rsid w:val="00043BBD"/>
    <w:rsid w:val="000445FB"/>
    <w:rsid w:val="000466F7"/>
    <w:rsid w:val="0005026E"/>
    <w:rsid w:val="0005066A"/>
    <w:rsid w:val="00050EE0"/>
    <w:rsid w:val="00051290"/>
    <w:rsid w:val="00051F0C"/>
    <w:rsid w:val="00053342"/>
    <w:rsid w:val="00053E55"/>
    <w:rsid w:val="00053F76"/>
    <w:rsid w:val="000546D7"/>
    <w:rsid w:val="00054BC4"/>
    <w:rsid w:val="00055F5D"/>
    <w:rsid w:val="00055FB8"/>
    <w:rsid w:val="000569C8"/>
    <w:rsid w:val="00057AAF"/>
    <w:rsid w:val="00061131"/>
    <w:rsid w:val="0006330D"/>
    <w:rsid w:val="000634AE"/>
    <w:rsid w:val="000639FB"/>
    <w:rsid w:val="000651CB"/>
    <w:rsid w:val="00065436"/>
    <w:rsid w:val="0006625B"/>
    <w:rsid w:val="00066678"/>
    <w:rsid w:val="00067CC9"/>
    <w:rsid w:val="0007074C"/>
    <w:rsid w:val="00071951"/>
    <w:rsid w:val="00071971"/>
    <w:rsid w:val="00071CC6"/>
    <w:rsid w:val="000726E1"/>
    <w:rsid w:val="0007325E"/>
    <w:rsid w:val="000738F3"/>
    <w:rsid w:val="000748CC"/>
    <w:rsid w:val="00074A07"/>
    <w:rsid w:val="00075001"/>
    <w:rsid w:val="000755E0"/>
    <w:rsid w:val="00075D5D"/>
    <w:rsid w:val="0007636D"/>
    <w:rsid w:val="00076608"/>
    <w:rsid w:val="00077A96"/>
    <w:rsid w:val="00080748"/>
    <w:rsid w:val="00080A7B"/>
    <w:rsid w:val="00081DA9"/>
    <w:rsid w:val="00082DE2"/>
    <w:rsid w:val="0008320C"/>
    <w:rsid w:val="00084BBE"/>
    <w:rsid w:val="00084F66"/>
    <w:rsid w:val="0008577E"/>
    <w:rsid w:val="000869C4"/>
    <w:rsid w:val="00091368"/>
    <w:rsid w:val="0009276B"/>
    <w:rsid w:val="00093AA1"/>
    <w:rsid w:val="00094C95"/>
    <w:rsid w:val="0009551E"/>
    <w:rsid w:val="00095556"/>
    <w:rsid w:val="00097572"/>
    <w:rsid w:val="0009776D"/>
    <w:rsid w:val="000A0BCD"/>
    <w:rsid w:val="000A1302"/>
    <w:rsid w:val="000A2A6B"/>
    <w:rsid w:val="000A357B"/>
    <w:rsid w:val="000A3FA1"/>
    <w:rsid w:val="000A4831"/>
    <w:rsid w:val="000A4E30"/>
    <w:rsid w:val="000A536D"/>
    <w:rsid w:val="000A5610"/>
    <w:rsid w:val="000A567D"/>
    <w:rsid w:val="000A5743"/>
    <w:rsid w:val="000A62F1"/>
    <w:rsid w:val="000A6334"/>
    <w:rsid w:val="000A6BEF"/>
    <w:rsid w:val="000A6C54"/>
    <w:rsid w:val="000A7452"/>
    <w:rsid w:val="000A7BBB"/>
    <w:rsid w:val="000B01D6"/>
    <w:rsid w:val="000B1166"/>
    <w:rsid w:val="000B1B91"/>
    <w:rsid w:val="000B3755"/>
    <w:rsid w:val="000B37FD"/>
    <w:rsid w:val="000B3999"/>
    <w:rsid w:val="000B3F5B"/>
    <w:rsid w:val="000B41DF"/>
    <w:rsid w:val="000B49DC"/>
    <w:rsid w:val="000B4E5E"/>
    <w:rsid w:val="000B4F91"/>
    <w:rsid w:val="000B5C57"/>
    <w:rsid w:val="000B5E23"/>
    <w:rsid w:val="000B6564"/>
    <w:rsid w:val="000B6B12"/>
    <w:rsid w:val="000B6B34"/>
    <w:rsid w:val="000C1633"/>
    <w:rsid w:val="000C22A5"/>
    <w:rsid w:val="000C2F19"/>
    <w:rsid w:val="000C340B"/>
    <w:rsid w:val="000C4DC7"/>
    <w:rsid w:val="000C5F0A"/>
    <w:rsid w:val="000C6336"/>
    <w:rsid w:val="000C70DC"/>
    <w:rsid w:val="000D0455"/>
    <w:rsid w:val="000D0A00"/>
    <w:rsid w:val="000D139A"/>
    <w:rsid w:val="000D159D"/>
    <w:rsid w:val="000D1C0C"/>
    <w:rsid w:val="000D2CB0"/>
    <w:rsid w:val="000D314C"/>
    <w:rsid w:val="000D37D9"/>
    <w:rsid w:val="000D40B6"/>
    <w:rsid w:val="000D4246"/>
    <w:rsid w:val="000D47C6"/>
    <w:rsid w:val="000D54CE"/>
    <w:rsid w:val="000D6B85"/>
    <w:rsid w:val="000D6BF4"/>
    <w:rsid w:val="000D78D1"/>
    <w:rsid w:val="000E18D0"/>
    <w:rsid w:val="000E2006"/>
    <w:rsid w:val="000E2A6D"/>
    <w:rsid w:val="000E2B3C"/>
    <w:rsid w:val="000E36CD"/>
    <w:rsid w:val="000E5A3C"/>
    <w:rsid w:val="000E5D6F"/>
    <w:rsid w:val="000E7CB0"/>
    <w:rsid w:val="000E7EA5"/>
    <w:rsid w:val="000F01C3"/>
    <w:rsid w:val="000F19DB"/>
    <w:rsid w:val="000F1FD2"/>
    <w:rsid w:val="000F321C"/>
    <w:rsid w:val="000F3D26"/>
    <w:rsid w:val="000F4A59"/>
    <w:rsid w:val="000F4D0D"/>
    <w:rsid w:val="000F4FEF"/>
    <w:rsid w:val="000F5B33"/>
    <w:rsid w:val="000F6223"/>
    <w:rsid w:val="000F67E8"/>
    <w:rsid w:val="000F6EB9"/>
    <w:rsid w:val="000F7F05"/>
    <w:rsid w:val="00100187"/>
    <w:rsid w:val="00100B03"/>
    <w:rsid w:val="00101105"/>
    <w:rsid w:val="00101924"/>
    <w:rsid w:val="00101E57"/>
    <w:rsid w:val="00102255"/>
    <w:rsid w:val="001041CA"/>
    <w:rsid w:val="0010704F"/>
    <w:rsid w:val="00107541"/>
    <w:rsid w:val="0011070D"/>
    <w:rsid w:val="00110BD0"/>
    <w:rsid w:val="0011195B"/>
    <w:rsid w:val="001128DF"/>
    <w:rsid w:val="001129ED"/>
    <w:rsid w:val="00112B03"/>
    <w:rsid w:val="00112D76"/>
    <w:rsid w:val="001133F4"/>
    <w:rsid w:val="00113718"/>
    <w:rsid w:val="00116895"/>
    <w:rsid w:val="00117943"/>
    <w:rsid w:val="00117F2D"/>
    <w:rsid w:val="00121204"/>
    <w:rsid w:val="0012195A"/>
    <w:rsid w:val="00121FBE"/>
    <w:rsid w:val="001221BB"/>
    <w:rsid w:val="00122217"/>
    <w:rsid w:val="00123B85"/>
    <w:rsid w:val="0012417D"/>
    <w:rsid w:val="00124A0B"/>
    <w:rsid w:val="00124B98"/>
    <w:rsid w:val="00125A9B"/>
    <w:rsid w:val="00125CB0"/>
    <w:rsid w:val="00126BBD"/>
    <w:rsid w:val="00127244"/>
    <w:rsid w:val="00127566"/>
    <w:rsid w:val="00130C49"/>
    <w:rsid w:val="0013123D"/>
    <w:rsid w:val="001312F9"/>
    <w:rsid w:val="00131F47"/>
    <w:rsid w:val="00132884"/>
    <w:rsid w:val="00132FFB"/>
    <w:rsid w:val="001335D3"/>
    <w:rsid w:val="001345A0"/>
    <w:rsid w:val="00135489"/>
    <w:rsid w:val="001355EF"/>
    <w:rsid w:val="0013678F"/>
    <w:rsid w:val="00136F8E"/>
    <w:rsid w:val="0013774D"/>
    <w:rsid w:val="001378AB"/>
    <w:rsid w:val="00137B5C"/>
    <w:rsid w:val="00140919"/>
    <w:rsid w:val="00140B7D"/>
    <w:rsid w:val="0014115B"/>
    <w:rsid w:val="00141BA6"/>
    <w:rsid w:val="00141CFA"/>
    <w:rsid w:val="001421EE"/>
    <w:rsid w:val="00142693"/>
    <w:rsid w:val="0014331B"/>
    <w:rsid w:val="0014346F"/>
    <w:rsid w:val="001440F7"/>
    <w:rsid w:val="001455D2"/>
    <w:rsid w:val="00145BD3"/>
    <w:rsid w:val="0014782E"/>
    <w:rsid w:val="00147DF1"/>
    <w:rsid w:val="00147E4A"/>
    <w:rsid w:val="00150360"/>
    <w:rsid w:val="0015271E"/>
    <w:rsid w:val="00152917"/>
    <w:rsid w:val="00152A25"/>
    <w:rsid w:val="00152BA6"/>
    <w:rsid w:val="001530BB"/>
    <w:rsid w:val="00153B98"/>
    <w:rsid w:val="00153BBB"/>
    <w:rsid w:val="00153C65"/>
    <w:rsid w:val="00153F08"/>
    <w:rsid w:val="00153FC3"/>
    <w:rsid w:val="0015442A"/>
    <w:rsid w:val="00154D35"/>
    <w:rsid w:val="001551EF"/>
    <w:rsid w:val="0015584B"/>
    <w:rsid w:val="00155BE8"/>
    <w:rsid w:val="001560FA"/>
    <w:rsid w:val="001571A1"/>
    <w:rsid w:val="001604D2"/>
    <w:rsid w:val="00160DC3"/>
    <w:rsid w:val="001618C6"/>
    <w:rsid w:val="00162869"/>
    <w:rsid w:val="00162C0E"/>
    <w:rsid w:val="00162C9F"/>
    <w:rsid w:val="0016341C"/>
    <w:rsid w:val="001635EC"/>
    <w:rsid w:val="0016422B"/>
    <w:rsid w:val="00165D4E"/>
    <w:rsid w:val="00166450"/>
    <w:rsid w:val="00166468"/>
    <w:rsid w:val="00166734"/>
    <w:rsid w:val="001667BF"/>
    <w:rsid w:val="001674BE"/>
    <w:rsid w:val="00170158"/>
    <w:rsid w:val="001703B0"/>
    <w:rsid w:val="00172AA2"/>
    <w:rsid w:val="00172DBE"/>
    <w:rsid w:val="00173AC1"/>
    <w:rsid w:val="0017433D"/>
    <w:rsid w:val="0017452D"/>
    <w:rsid w:val="001747A8"/>
    <w:rsid w:val="00174A54"/>
    <w:rsid w:val="00174EDB"/>
    <w:rsid w:val="00174F4D"/>
    <w:rsid w:val="00176595"/>
    <w:rsid w:val="0017708F"/>
    <w:rsid w:val="001774CA"/>
    <w:rsid w:val="00177CC6"/>
    <w:rsid w:val="00180BCA"/>
    <w:rsid w:val="001818AC"/>
    <w:rsid w:val="0018304D"/>
    <w:rsid w:val="001837B8"/>
    <w:rsid w:val="0018468F"/>
    <w:rsid w:val="001846C2"/>
    <w:rsid w:val="00185066"/>
    <w:rsid w:val="001854ED"/>
    <w:rsid w:val="00185E8D"/>
    <w:rsid w:val="00186577"/>
    <w:rsid w:val="00186BC7"/>
    <w:rsid w:val="00186C88"/>
    <w:rsid w:val="0018716B"/>
    <w:rsid w:val="00190566"/>
    <w:rsid w:val="001909A2"/>
    <w:rsid w:val="001909D4"/>
    <w:rsid w:val="00190E96"/>
    <w:rsid w:val="001910B2"/>
    <w:rsid w:val="00191EBC"/>
    <w:rsid w:val="0019231E"/>
    <w:rsid w:val="001930D0"/>
    <w:rsid w:val="001936C0"/>
    <w:rsid w:val="001939A4"/>
    <w:rsid w:val="00193F90"/>
    <w:rsid w:val="00194067"/>
    <w:rsid w:val="00194B8A"/>
    <w:rsid w:val="001954C8"/>
    <w:rsid w:val="00196B79"/>
    <w:rsid w:val="00196C0C"/>
    <w:rsid w:val="00197F15"/>
    <w:rsid w:val="001A045B"/>
    <w:rsid w:val="001A0739"/>
    <w:rsid w:val="001A0EE6"/>
    <w:rsid w:val="001A1264"/>
    <w:rsid w:val="001A1D26"/>
    <w:rsid w:val="001A2183"/>
    <w:rsid w:val="001A2693"/>
    <w:rsid w:val="001A412E"/>
    <w:rsid w:val="001A4CC2"/>
    <w:rsid w:val="001A50EB"/>
    <w:rsid w:val="001A558A"/>
    <w:rsid w:val="001A651E"/>
    <w:rsid w:val="001A7142"/>
    <w:rsid w:val="001A75CC"/>
    <w:rsid w:val="001A792F"/>
    <w:rsid w:val="001B1854"/>
    <w:rsid w:val="001B1AE4"/>
    <w:rsid w:val="001B1B1F"/>
    <w:rsid w:val="001B25F4"/>
    <w:rsid w:val="001B2A9B"/>
    <w:rsid w:val="001B3350"/>
    <w:rsid w:val="001B44B2"/>
    <w:rsid w:val="001B4509"/>
    <w:rsid w:val="001B4E80"/>
    <w:rsid w:val="001B5089"/>
    <w:rsid w:val="001B6606"/>
    <w:rsid w:val="001B66F8"/>
    <w:rsid w:val="001C04EB"/>
    <w:rsid w:val="001C05F3"/>
    <w:rsid w:val="001C0C03"/>
    <w:rsid w:val="001C1026"/>
    <w:rsid w:val="001C12A5"/>
    <w:rsid w:val="001C1D26"/>
    <w:rsid w:val="001C23FC"/>
    <w:rsid w:val="001C2705"/>
    <w:rsid w:val="001C3463"/>
    <w:rsid w:val="001C4392"/>
    <w:rsid w:val="001C4450"/>
    <w:rsid w:val="001C50B9"/>
    <w:rsid w:val="001C5B3D"/>
    <w:rsid w:val="001C5DAD"/>
    <w:rsid w:val="001C5EB8"/>
    <w:rsid w:val="001C70D5"/>
    <w:rsid w:val="001C7381"/>
    <w:rsid w:val="001C74CF"/>
    <w:rsid w:val="001C769D"/>
    <w:rsid w:val="001C786B"/>
    <w:rsid w:val="001C795A"/>
    <w:rsid w:val="001C7F3A"/>
    <w:rsid w:val="001D0AF3"/>
    <w:rsid w:val="001D1170"/>
    <w:rsid w:val="001D1A9F"/>
    <w:rsid w:val="001D1B77"/>
    <w:rsid w:val="001D320C"/>
    <w:rsid w:val="001D3799"/>
    <w:rsid w:val="001D3AB1"/>
    <w:rsid w:val="001D3CD5"/>
    <w:rsid w:val="001D3E9F"/>
    <w:rsid w:val="001D4792"/>
    <w:rsid w:val="001D5968"/>
    <w:rsid w:val="001D7004"/>
    <w:rsid w:val="001D7BD5"/>
    <w:rsid w:val="001E00FB"/>
    <w:rsid w:val="001E056B"/>
    <w:rsid w:val="001E0986"/>
    <w:rsid w:val="001E0D94"/>
    <w:rsid w:val="001E13BD"/>
    <w:rsid w:val="001E1EBB"/>
    <w:rsid w:val="001E2E72"/>
    <w:rsid w:val="001E4102"/>
    <w:rsid w:val="001E4A35"/>
    <w:rsid w:val="001E6B03"/>
    <w:rsid w:val="001E70C2"/>
    <w:rsid w:val="001E7429"/>
    <w:rsid w:val="001F0331"/>
    <w:rsid w:val="001F0366"/>
    <w:rsid w:val="001F0455"/>
    <w:rsid w:val="001F0738"/>
    <w:rsid w:val="001F0983"/>
    <w:rsid w:val="001F0E50"/>
    <w:rsid w:val="001F1AD7"/>
    <w:rsid w:val="001F1C31"/>
    <w:rsid w:val="001F21D2"/>
    <w:rsid w:val="001F2438"/>
    <w:rsid w:val="001F3014"/>
    <w:rsid w:val="001F33AC"/>
    <w:rsid w:val="001F3ED7"/>
    <w:rsid w:val="001F3FEA"/>
    <w:rsid w:val="001F42CE"/>
    <w:rsid w:val="001F4E72"/>
    <w:rsid w:val="001F4E86"/>
    <w:rsid w:val="001F59F5"/>
    <w:rsid w:val="001F5DA3"/>
    <w:rsid w:val="001F67A5"/>
    <w:rsid w:val="001F686B"/>
    <w:rsid w:val="001F6C0F"/>
    <w:rsid w:val="001F6CCB"/>
    <w:rsid w:val="001F6CEF"/>
    <w:rsid w:val="001F780D"/>
    <w:rsid w:val="0020063D"/>
    <w:rsid w:val="00201504"/>
    <w:rsid w:val="00201FC7"/>
    <w:rsid w:val="00202AEC"/>
    <w:rsid w:val="00203EE5"/>
    <w:rsid w:val="00204179"/>
    <w:rsid w:val="00204867"/>
    <w:rsid w:val="00205A60"/>
    <w:rsid w:val="00205E88"/>
    <w:rsid w:val="0020624F"/>
    <w:rsid w:val="00206574"/>
    <w:rsid w:val="00206C30"/>
    <w:rsid w:val="00207479"/>
    <w:rsid w:val="00207B22"/>
    <w:rsid w:val="00207D32"/>
    <w:rsid w:val="0021011E"/>
    <w:rsid w:val="00210853"/>
    <w:rsid w:val="00210935"/>
    <w:rsid w:val="00211D76"/>
    <w:rsid w:val="00211E63"/>
    <w:rsid w:val="0021219E"/>
    <w:rsid w:val="0021357B"/>
    <w:rsid w:val="00213802"/>
    <w:rsid w:val="00214316"/>
    <w:rsid w:val="00214458"/>
    <w:rsid w:val="0021454D"/>
    <w:rsid w:val="00215533"/>
    <w:rsid w:val="00215CDB"/>
    <w:rsid w:val="0021692F"/>
    <w:rsid w:val="0022025A"/>
    <w:rsid w:val="00220894"/>
    <w:rsid w:val="00220A62"/>
    <w:rsid w:val="00220BED"/>
    <w:rsid w:val="002212EC"/>
    <w:rsid w:val="0022204E"/>
    <w:rsid w:val="00222187"/>
    <w:rsid w:val="0022254B"/>
    <w:rsid w:val="002238A2"/>
    <w:rsid w:val="0022465C"/>
    <w:rsid w:val="00224F59"/>
    <w:rsid w:val="00227561"/>
    <w:rsid w:val="00227F22"/>
    <w:rsid w:val="002303D8"/>
    <w:rsid w:val="00230913"/>
    <w:rsid w:val="00230E5C"/>
    <w:rsid w:val="002313A3"/>
    <w:rsid w:val="00231A29"/>
    <w:rsid w:val="00231FFA"/>
    <w:rsid w:val="002320AD"/>
    <w:rsid w:val="002334D7"/>
    <w:rsid w:val="00233549"/>
    <w:rsid w:val="00233915"/>
    <w:rsid w:val="00233FFE"/>
    <w:rsid w:val="00234E60"/>
    <w:rsid w:val="002357C4"/>
    <w:rsid w:val="00235BA4"/>
    <w:rsid w:val="00236C69"/>
    <w:rsid w:val="00236C87"/>
    <w:rsid w:val="00236F60"/>
    <w:rsid w:val="002374AC"/>
    <w:rsid w:val="00237571"/>
    <w:rsid w:val="002375AF"/>
    <w:rsid w:val="0023780B"/>
    <w:rsid w:val="002401E3"/>
    <w:rsid w:val="00240535"/>
    <w:rsid w:val="00240D95"/>
    <w:rsid w:val="00240DAE"/>
    <w:rsid w:val="0024145F"/>
    <w:rsid w:val="002434A0"/>
    <w:rsid w:val="002442E6"/>
    <w:rsid w:val="002449FC"/>
    <w:rsid w:val="00245684"/>
    <w:rsid w:val="00245FFE"/>
    <w:rsid w:val="002469A5"/>
    <w:rsid w:val="0024748F"/>
    <w:rsid w:val="002479E0"/>
    <w:rsid w:val="00247BF1"/>
    <w:rsid w:val="00247D26"/>
    <w:rsid w:val="0025103A"/>
    <w:rsid w:val="00252A64"/>
    <w:rsid w:val="002553A1"/>
    <w:rsid w:val="00255FC1"/>
    <w:rsid w:val="0025646E"/>
    <w:rsid w:val="00256770"/>
    <w:rsid w:val="00256BAA"/>
    <w:rsid w:val="0025717C"/>
    <w:rsid w:val="002573D0"/>
    <w:rsid w:val="00260113"/>
    <w:rsid w:val="00260130"/>
    <w:rsid w:val="00260230"/>
    <w:rsid w:val="002606C6"/>
    <w:rsid w:val="002609B7"/>
    <w:rsid w:val="00260B33"/>
    <w:rsid w:val="00260BB9"/>
    <w:rsid w:val="00261EB6"/>
    <w:rsid w:val="00261FB8"/>
    <w:rsid w:val="00262074"/>
    <w:rsid w:val="002626E3"/>
    <w:rsid w:val="00263658"/>
    <w:rsid w:val="00263738"/>
    <w:rsid w:val="002648AC"/>
    <w:rsid w:val="00264FFE"/>
    <w:rsid w:val="00265180"/>
    <w:rsid w:val="00265969"/>
    <w:rsid w:val="00265EFB"/>
    <w:rsid w:val="002665A3"/>
    <w:rsid w:val="00266A93"/>
    <w:rsid w:val="00266AEC"/>
    <w:rsid w:val="0026731A"/>
    <w:rsid w:val="00272ADE"/>
    <w:rsid w:val="00274B67"/>
    <w:rsid w:val="0027526A"/>
    <w:rsid w:val="00276184"/>
    <w:rsid w:val="00276C0C"/>
    <w:rsid w:val="00276CBE"/>
    <w:rsid w:val="00276D4C"/>
    <w:rsid w:val="00277487"/>
    <w:rsid w:val="00277BDE"/>
    <w:rsid w:val="00277F2A"/>
    <w:rsid w:val="00280855"/>
    <w:rsid w:val="00280C02"/>
    <w:rsid w:val="00280DD7"/>
    <w:rsid w:val="00280F25"/>
    <w:rsid w:val="002819C1"/>
    <w:rsid w:val="002824CF"/>
    <w:rsid w:val="002827D5"/>
    <w:rsid w:val="00283006"/>
    <w:rsid w:val="0028342B"/>
    <w:rsid w:val="00283AAD"/>
    <w:rsid w:val="00284A80"/>
    <w:rsid w:val="0028692D"/>
    <w:rsid w:val="00287D80"/>
    <w:rsid w:val="002904F4"/>
    <w:rsid w:val="00290E81"/>
    <w:rsid w:val="00290F6E"/>
    <w:rsid w:val="00291336"/>
    <w:rsid w:val="00291627"/>
    <w:rsid w:val="00291D98"/>
    <w:rsid w:val="002927D6"/>
    <w:rsid w:val="00292C35"/>
    <w:rsid w:val="00292D1D"/>
    <w:rsid w:val="002931E2"/>
    <w:rsid w:val="0029453C"/>
    <w:rsid w:val="0029512A"/>
    <w:rsid w:val="002953DF"/>
    <w:rsid w:val="0029631C"/>
    <w:rsid w:val="00296687"/>
    <w:rsid w:val="00296D8A"/>
    <w:rsid w:val="00297614"/>
    <w:rsid w:val="002A04D1"/>
    <w:rsid w:val="002A0E76"/>
    <w:rsid w:val="002A1864"/>
    <w:rsid w:val="002A1E2F"/>
    <w:rsid w:val="002A2020"/>
    <w:rsid w:val="002A2AB4"/>
    <w:rsid w:val="002A334B"/>
    <w:rsid w:val="002A3E88"/>
    <w:rsid w:val="002A3FA5"/>
    <w:rsid w:val="002A42B9"/>
    <w:rsid w:val="002A47CE"/>
    <w:rsid w:val="002A4A5C"/>
    <w:rsid w:val="002A5BDF"/>
    <w:rsid w:val="002A5F6D"/>
    <w:rsid w:val="002A63E9"/>
    <w:rsid w:val="002A731C"/>
    <w:rsid w:val="002A7A69"/>
    <w:rsid w:val="002B0775"/>
    <w:rsid w:val="002B07E2"/>
    <w:rsid w:val="002B1D08"/>
    <w:rsid w:val="002B2CDD"/>
    <w:rsid w:val="002B4AB4"/>
    <w:rsid w:val="002B4BFD"/>
    <w:rsid w:val="002B4EA1"/>
    <w:rsid w:val="002B58FE"/>
    <w:rsid w:val="002B65CD"/>
    <w:rsid w:val="002B6973"/>
    <w:rsid w:val="002B7325"/>
    <w:rsid w:val="002C07E9"/>
    <w:rsid w:val="002C17ED"/>
    <w:rsid w:val="002C1F6C"/>
    <w:rsid w:val="002C2BD8"/>
    <w:rsid w:val="002C33FD"/>
    <w:rsid w:val="002C37A6"/>
    <w:rsid w:val="002C3AE8"/>
    <w:rsid w:val="002C4720"/>
    <w:rsid w:val="002C538C"/>
    <w:rsid w:val="002C6031"/>
    <w:rsid w:val="002C7188"/>
    <w:rsid w:val="002D0C1C"/>
    <w:rsid w:val="002D2510"/>
    <w:rsid w:val="002D2D88"/>
    <w:rsid w:val="002D3339"/>
    <w:rsid w:val="002D518C"/>
    <w:rsid w:val="002D5666"/>
    <w:rsid w:val="002D6C25"/>
    <w:rsid w:val="002D787B"/>
    <w:rsid w:val="002E0271"/>
    <w:rsid w:val="002E036E"/>
    <w:rsid w:val="002E1025"/>
    <w:rsid w:val="002E133A"/>
    <w:rsid w:val="002E1B7C"/>
    <w:rsid w:val="002E2042"/>
    <w:rsid w:val="002E2043"/>
    <w:rsid w:val="002E26C7"/>
    <w:rsid w:val="002E34DA"/>
    <w:rsid w:val="002E37A3"/>
    <w:rsid w:val="002E3A42"/>
    <w:rsid w:val="002E3CB8"/>
    <w:rsid w:val="002E3E8D"/>
    <w:rsid w:val="002E3EA6"/>
    <w:rsid w:val="002E4402"/>
    <w:rsid w:val="002E4957"/>
    <w:rsid w:val="002E4BB0"/>
    <w:rsid w:val="002E52ED"/>
    <w:rsid w:val="002E54C4"/>
    <w:rsid w:val="002E5CFD"/>
    <w:rsid w:val="002E5FE5"/>
    <w:rsid w:val="002E68A9"/>
    <w:rsid w:val="002E71CC"/>
    <w:rsid w:val="002E74F3"/>
    <w:rsid w:val="002F05D7"/>
    <w:rsid w:val="002F09D6"/>
    <w:rsid w:val="002F0AB6"/>
    <w:rsid w:val="002F1F60"/>
    <w:rsid w:val="002F22C8"/>
    <w:rsid w:val="002F2AE0"/>
    <w:rsid w:val="002F43F6"/>
    <w:rsid w:val="002F53B3"/>
    <w:rsid w:val="002F6CF4"/>
    <w:rsid w:val="002F705E"/>
    <w:rsid w:val="002F7341"/>
    <w:rsid w:val="002F7E79"/>
    <w:rsid w:val="00300427"/>
    <w:rsid w:val="00300A0C"/>
    <w:rsid w:val="00300ACA"/>
    <w:rsid w:val="00301420"/>
    <w:rsid w:val="00301F2A"/>
    <w:rsid w:val="0030338D"/>
    <w:rsid w:val="00304A34"/>
    <w:rsid w:val="0030506B"/>
    <w:rsid w:val="00305447"/>
    <w:rsid w:val="00305A7B"/>
    <w:rsid w:val="00305D10"/>
    <w:rsid w:val="00306F19"/>
    <w:rsid w:val="00307D27"/>
    <w:rsid w:val="0031109B"/>
    <w:rsid w:val="0031169B"/>
    <w:rsid w:val="0031274F"/>
    <w:rsid w:val="00312BCA"/>
    <w:rsid w:val="00313CE6"/>
    <w:rsid w:val="00314FE0"/>
    <w:rsid w:val="0031508C"/>
    <w:rsid w:val="00315921"/>
    <w:rsid w:val="00316A77"/>
    <w:rsid w:val="0032001F"/>
    <w:rsid w:val="00322175"/>
    <w:rsid w:val="00322F2C"/>
    <w:rsid w:val="0032342F"/>
    <w:rsid w:val="0032362F"/>
    <w:rsid w:val="00324713"/>
    <w:rsid w:val="003248EA"/>
    <w:rsid w:val="003254D3"/>
    <w:rsid w:val="003261F0"/>
    <w:rsid w:val="00326451"/>
    <w:rsid w:val="00327364"/>
    <w:rsid w:val="00327C4A"/>
    <w:rsid w:val="00327FE5"/>
    <w:rsid w:val="003308A5"/>
    <w:rsid w:val="00331238"/>
    <w:rsid w:val="003324CA"/>
    <w:rsid w:val="00332DCE"/>
    <w:rsid w:val="00332E7C"/>
    <w:rsid w:val="0033342F"/>
    <w:rsid w:val="00334385"/>
    <w:rsid w:val="00335FDE"/>
    <w:rsid w:val="00336005"/>
    <w:rsid w:val="00336343"/>
    <w:rsid w:val="0033636F"/>
    <w:rsid w:val="00341EA4"/>
    <w:rsid w:val="00341F06"/>
    <w:rsid w:val="00342696"/>
    <w:rsid w:val="003431AB"/>
    <w:rsid w:val="00343D86"/>
    <w:rsid w:val="003454A0"/>
    <w:rsid w:val="00345F70"/>
    <w:rsid w:val="003461C4"/>
    <w:rsid w:val="00346A20"/>
    <w:rsid w:val="00346A22"/>
    <w:rsid w:val="00346AB4"/>
    <w:rsid w:val="00347FB7"/>
    <w:rsid w:val="003500EC"/>
    <w:rsid w:val="00350679"/>
    <w:rsid w:val="00350917"/>
    <w:rsid w:val="00350BAF"/>
    <w:rsid w:val="00350CA3"/>
    <w:rsid w:val="00350DF6"/>
    <w:rsid w:val="00351C42"/>
    <w:rsid w:val="003521C4"/>
    <w:rsid w:val="003525CF"/>
    <w:rsid w:val="0035452C"/>
    <w:rsid w:val="00355C15"/>
    <w:rsid w:val="00355CC1"/>
    <w:rsid w:val="00355E24"/>
    <w:rsid w:val="00355E9F"/>
    <w:rsid w:val="003576AE"/>
    <w:rsid w:val="00357916"/>
    <w:rsid w:val="00357AC8"/>
    <w:rsid w:val="00360198"/>
    <w:rsid w:val="00360B17"/>
    <w:rsid w:val="003612B1"/>
    <w:rsid w:val="00361509"/>
    <w:rsid w:val="00361A89"/>
    <w:rsid w:val="003625FE"/>
    <w:rsid w:val="0036261F"/>
    <w:rsid w:val="003627BE"/>
    <w:rsid w:val="00362D7B"/>
    <w:rsid w:val="0036582B"/>
    <w:rsid w:val="00365C7B"/>
    <w:rsid w:val="00365D52"/>
    <w:rsid w:val="00365E1E"/>
    <w:rsid w:val="00365F8C"/>
    <w:rsid w:val="003673E5"/>
    <w:rsid w:val="00367EAE"/>
    <w:rsid w:val="00367F37"/>
    <w:rsid w:val="00371F0E"/>
    <w:rsid w:val="0037276D"/>
    <w:rsid w:val="00372935"/>
    <w:rsid w:val="00372F42"/>
    <w:rsid w:val="00373078"/>
    <w:rsid w:val="003734FF"/>
    <w:rsid w:val="00373DD8"/>
    <w:rsid w:val="00373E9B"/>
    <w:rsid w:val="00374215"/>
    <w:rsid w:val="00375628"/>
    <w:rsid w:val="00375CD9"/>
    <w:rsid w:val="00376C60"/>
    <w:rsid w:val="003777C4"/>
    <w:rsid w:val="003810B9"/>
    <w:rsid w:val="00381189"/>
    <w:rsid w:val="00381E63"/>
    <w:rsid w:val="00381E7F"/>
    <w:rsid w:val="00382046"/>
    <w:rsid w:val="0038237A"/>
    <w:rsid w:val="0038242A"/>
    <w:rsid w:val="00382601"/>
    <w:rsid w:val="003827FE"/>
    <w:rsid w:val="00382D02"/>
    <w:rsid w:val="003836CA"/>
    <w:rsid w:val="00383B33"/>
    <w:rsid w:val="00383FD8"/>
    <w:rsid w:val="00384D3F"/>
    <w:rsid w:val="00385355"/>
    <w:rsid w:val="003858D0"/>
    <w:rsid w:val="003865D4"/>
    <w:rsid w:val="0038660D"/>
    <w:rsid w:val="00386E7F"/>
    <w:rsid w:val="00386F45"/>
    <w:rsid w:val="0039118B"/>
    <w:rsid w:val="00391C7B"/>
    <w:rsid w:val="00392690"/>
    <w:rsid w:val="00392AC2"/>
    <w:rsid w:val="00393975"/>
    <w:rsid w:val="00393BA6"/>
    <w:rsid w:val="00394332"/>
    <w:rsid w:val="00394EE1"/>
    <w:rsid w:val="0039557B"/>
    <w:rsid w:val="00395A07"/>
    <w:rsid w:val="00395B0C"/>
    <w:rsid w:val="00396E40"/>
    <w:rsid w:val="00396FDD"/>
    <w:rsid w:val="003A0142"/>
    <w:rsid w:val="003A273A"/>
    <w:rsid w:val="003A300E"/>
    <w:rsid w:val="003A37B7"/>
    <w:rsid w:val="003A37DA"/>
    <w:rsid w:val="003A45DC"/>
    <w:rsid w:val="003A5CD8"/>
    <w:rsid w:val="003A71F2"/>
    <w:rsid w:val="003A73FD"/>
    <w:rsid w:val="003A7A7B"/>
    <w:rsid w:val="003B0160"/>
    <w:rsid w:val="003B10FE"/>
    <w:rsid w:val="003B1410"/>
    <w:rsid w:val="003B156C"/>
    <w:rsid w:val="003B3068"/>
    <w:rsid w:val="003B3F8D"/>
    <w:rsid w:val="003B51C9"/>
    <w:rsid w:val="003B58B2"/>
    <w:rsid w:val="003B6692"/>
    <w:rsid w:val="003B6AAF"/>
    <w:rsid w:val="003C1E5F"/>
    <w:rsid w:val="003C2716"/>
    <w:rsid w:val="003C3114"/>
    <w:rsid w:val="003C3233"/>
    <w:rsid w:val="003C38BF"/>
    <w:rsid w:val="003C41A6"/>
    <w:rsid w:val="003C4685"/>
    <w:rsid w:val="003C46C2"/>
    <w:rsid w:val="003C4A9E"/>
    <w:rsid w:val="003C4F7C"/>
    <w:rsid w:val="003C556C"/>
    <w:rsid w:val="003C5705"/>
    <w:rsid w:val="003C578A"/>
    <w:rsid w:val="003C5793"/>
    <w:rsid w:val="003C61E2"/>
    <w:rsid w:val="003C6275"/>
    <w:rsid w:val="003C6276"/>
    <w:rsid w:val="003C63EE"/>
    <w:rsid w:val="003C6EC3"/>
    <w:rsid w:val="003C72AF"/>
    <w:rsid w:val="003C7662"/>
    <w:rsid w:val="003C77C9"/>
    <w:rsid w:val="003C7A0A"/>
    <w:rsid w:val="003D0CC8"/>
    <w:rsid w:val="003D0E50"/>
    <w:rsid w:val="003D1157"/>
    <w:rsid w:val="003D1220"/>
    <w:rsid w:val="003D1D16"/>
    <w:rsid w:val="003D261E"/>
    <w:rsid w:val="003D2EDD"/>
    <w:rsid w:val="003D4D7A"/>
    <w:rsid w:val="003D4FE8"/>
    <w:rsid w:val="003D5147"/>
    <w:rsid w:val="003D51F3"/>
    <w:rsid w:val="003D5F05"/>
    <w:rsid w:val="003D60B2"/>
    <w:rsid w:val="003D706A"/>
    <w:rsid w:val="003D76C5"/>
    <w:rsid w:val="003D77E5"/>
    <w:rsid w:val="003D7A60"/>
    <w:rsid w:val="003D7FE6"/>
    <w:rsid w:val="003E04BE"/>
    <w:rsid w:val="003E07B9"/>
    <w:rsid w:val="003E09A2"/>
    <w:rsid w:val="003E1EF9"/>
    <w:rsid w:val="003E22BC"/>
    <w:rsid w:val="003E231C"/>
    <w:rsid w:val="003E27B0"/>
    <w:rsid w:val="003E31A2"/>
    <w:rsid w:val="003E36D3"/>
    <w:rsid w:val="003E3AC4"/>
    <w:rsid w:val="003E3B5D"/>
    <w:rsid w:val="003E4085"/>
    <w:rsid w:val="003E635D"/>
    <w:rsid w:val="003E7097"/>
    <w:rsid w:val="003E730D"/>
    <w:rsid w:val="003E736B"/>
    <w:rsid w:val="003E7C6A"/>
    <w:rsid w:val="003E7FE6"/>
    <w:rsid w:val="003F01B4"/>
    <w:rsid w:val="003F04C1"/>
    <w:rsid w:val="003F08F4"/>
    <w:rsid w:val="003F0902"/>
    <w:rsid w:val="003F0E71"/>
    <w:rsid w:val="003F154E"/>
    <w:rsid w:val="003F21C5"/>
    <w:rsid w:val="003F221D"/>
    <w:rsid w:val="003F24E9"/>
    <w:rsid w:val="003F2D34"/>
    <w:rsid w:val="003F3477"/>
    <w:rsid w:val="003F35D5"/>
    <w:rsid w:val="003F388D"/>
    <w:rsid w:val="003F4979"/>
    <w:rsid w:val="003F5365"/>
    <w:rsid w:val="003F59B7"/>
    <w:rsid w:val="003F5C67"/>
    <w:rsid w:val="003F5CC5"/>
    <w:rsid w:val="003F6285"/>
    <w:rsid w:val="003F6413"/>
    <w:rsid w:val="003F6CBD"/>
    <w:rsid w:val="003F7893"/>
    <w:rsid w:val="0040042B"/>
    <w:rsid w:val="00400722"/>
    <w:rsid w:val="004019C8"/>
    <w:rsid w:val="00401B62"/>
    <w:rsid w:val="004036F5"/>
    <w:rsid w:val="004038DD"/>
    <w:rsid w:val="00403BA9"/>
    <w:rsid w:val="00404543"/>
    <w:rsid w:val="004048D1"/>
    <w:rsid w:val="00404D0F"/>
    <w:rsid w:val="00405F09"/>
    <w:rsid w:val="00405F67"/>
    <w:rsid w:val="0040603A"/>
    <w:rsid w:val="004069A5"/>
    <w:rsid w:val="00406AD1"/>
    <w:rsid w:val="00407180"/>
    <w:rsid w:val="0041038B"/>
    <w:rsid w:val="004104A0"/>
    <w:rsid w:val="004107B9"/>
    <w:rsid w:val="00410FC7"/>
    <w:rsid w:val="004112C8"/>
    <w:rsid w:val="00411F45"/>
    <w:rsid w:val="004121D2"/>
    <w:rsid w:val="004128E2"/>
    <w:rsid w:val="0041318A"/>
    <w:rsid w:val="004134E9"/>
    <w:rsid w:val="004135F6"/>
    <w:rsid w:val="004155D3"/>
    <w:rsid w:val="0041578F"/>
    <w:rsid w:val="00416AB4"/>
    <w:rsid w:val="0041724C"/>
    <w:rsid w:val="00417962"/>
    <w:rsid w:val="004203E7"/>
    <w:rsid w:val="004206A5"/>
    <w:rsid w:val="004208B2"/>
    <w:rsid w:val="004219A5"/>
    <w:rsid w:val="00421BBB"/>
    <w:rsid w:val="0042201A"/>
    <w:rsid w:val="00422B3D"/>
    <w:rsid w:val="0042310A"/>
    <w:rsid w:val="0042378D"/>
    <w:rsid w:val="00423E2B"/>
    <w:rsid w:val="004244FA"/>
    <w:rsid w:val="0042451B"/>
    <w:rsid w:val="00424C90"/>
    <w:rsid w:val="00424EC7"/>
    <w:rsid w:val="00425918"/>
    <w:rsid w:val="00425D87"/>
    <w:rsid w:val="00426C7B"/>
    <w:rsid w:val="00427455"/>
    <w:rsid w:val="00427A97"/>
    <w:rsid w:val="00430870"/>
    <w:rsid w:val="00430E40"/>
    <w:rsid w:val="00431757"/>
    <w:rsid w:val="00431BFD"/>
    <w:rsid w:val="00432117"/>
    <w:rsid w:val="004334FB"/>
    <w:rsid w:val="0043420E"/>
    <w:rsid w:val="00434324"/>
    <w:rsid w:val="00434C1B"/>
    <w:rsid w:val="00434F60"/>
    <w:rsid w:val="004359B1"/>
    <w:rsid w:val="00435A37"/>
    <w:rsid w:val="00436E65"/>
    <w:rsid w:val="00437951"/>
    <w:rsid w:val="004400F7"/>
    <w:rsid w:val="004403C1"/>
    <w:rsid w:val="00440427"/>
    <w:rsid w:val="00440629"/>
    <w:rsid w:val="0044099D"/>
    <w:rsid w:val="00440A7D"/>
    <w:rsid w:val="00441A2D"/>
    <w:rsid w:val="004422A1"/>
    <w:rsid w:val="004430B7"/>
    <w:rsid w:val="004446AA"/>
    <w:rsid w:val="004449C6"/>
    <w:rsid w:val="00444CB0"/>
    <w:rsid w:val="00444EA9"/>
    <w:rsid w:val="004451E5"/>
    <w:rsid w:val="004458B0"/>
    <w:rsid w:val="004467A1"/>
    <w:rsid w:val="0045053F"/>
    <w:rsid w:val="00450E27"/>
    <w:rsid w:val="00451401"/>
    <w:rsid w:val="00451691"/>
    <w:rsid w:val="00452222"/>
    <w:rsid w:val="00452453"/>
    <w:rsid w:val="00452618"/>
    <w:rsid w:val="00452CEC"/>
    <w:rsid w:val="0045357A"/>
    <w:rsid w:val="00454578"/>
    <w:rsid w:val="004559B2"/>
    <w:rsid w:val="0045662D"/>
    <w:rsid w:val="00457295"/>
    <w:rsid w:val="00457EC3"/>
    <w:rsid w:val="0046092E"/>
    <w:rsid w:val="00462C2C"/>
    <w:rsid w:val="00463B6E"/>
    <w:rsid w:val="004650B0"/>
    <w:rsid w:val="00465B87"/>
    <w:rsid w:val="00466769"/>
    <w:rsid w:val="00470609"/>
    <w:rsid w:val="0047268C"/>
    <w:rsid w:val="004733A2"/>
    <w:rsid w:val="00474108"/>
    <w:rsid w:val="00475550"/>
    <w:rsid w:val="0047678B"/>
    <w:rsid w:val="00476955"/>
    <w:rsid w:val="00477EDA"/>
    <w:rsid w:val="00480693"/>
    <w:rsid w:val="00480F37"/>
    <w:rsid w:val="00483190"/>
    <w:rsid w:val="0048363F"/>
    <w:rsid w:val="00483A02"/>
    <w:rsid w:val="00484AA4"/>
    <w:rsid w:val="00484DB2"/>
    <w:rsid w:val="00485A30"/>
    <w:rsid w:val="00485AD7"/>
    <w:rsid w:val="00485F93"/>
    <w:rsid w:val="00490DC6"/>
    <w:rsid w:val="00491010"/>
    <w:rsid w:val="00492AD9"/>
    <w:rsid w:val="00492C7C"/>
    <w:rsid w:val="00492C9D"/>
    <w:rsid w:val="004935F8"/>
    <w:rsid w:val="00494D27"/>
    <w:rsid w:val="00496095"/>
    <w:rsid w:val="00496407"/>
    <w:rsid w:val="00496D76"/>
    <w:rsid w:val="004A1810"/>
    <w:rsid w:val="004A3176"/>
    <w:rsid w:val="004A3188"/>
    <w:rsid w:val="004A3A83"/>
    <w:rsid w:val="004A3B5C"/>
    <w:rsid w:val="004A3D79"/>
    <w:rsid w:val="004A5826"/>
    <w:rsid w:val="004A5E59"/>
    <w:rsid w:val="004A60AC"/>
    <w:rsid w:val="004A6AB3"/>
    <w:rsid w:val="004A6E28"/>
    <w:rsid w:val="004A6F9A"/>
    <w:rsid w:val="004B0A30"/>
    <w:rsid w:val="004B107F"/>
    <w:rsid w:val="004B1343"/>
    <w:rsid w:val="004B28C9"/>
    <w:rsid w:val="004B3FCB"/>
    <w:rsid w:val="004B4256"/>
    <w:rsid w:val="004B4F89"/>
    <w:rsid w:val="004B5D40"/>
    <w:rsid w:val="004B6E89"/>
    <w:rsid w:val="004B71E4"/>
    <w:rsid w:val="004B7300"/>
    <w:rsid w:val="004B73EF"/>
    <w:rsid w:val="004C14FE"/>
    <w:rsid w:val="004C173E"/>
    <w:rsid w:val="004C2083"/>
    <w:rsid w:val="004C2416"/>
    <w:rsid w:val="004C2741"/>
    <w:rsid w:val="004C3962"/>
    <w:rsid w:val="004C3CA3"/>
    <w:rsid w:val="004C4226"/>
    <w:rsid w:val="004C550B"/>
    <w:rsid w:val="004C709B"/>
    <w:rsid w:val="004C7A32"/>
    <w:rsid w:val="004C7EA6"/>
    <w:rsid w:val="004D0257"/>
    <w:rsid w:val="004D157D"/>
    <w:rsid w:val="004D1AA2"/>
    <w:rsid w:val="004D1CD7"/>
    <w:rsid w:val="004D21F2"/>
    <w:rsid w:val="004D2240"/>
    <w:rsid w:val="004D2909"/>
    <w:rsid w:val="004D39C2"/>
    <w:rsid w:val="004D4FF6"/>
    <w:rsid w:val="004D5900"/>
    <w:rsid w:val="004D5B3A"/>
    <w:rsid w:val="004D681C"/>
    <w:rsid w:val="004D6B7C"/>
    <w:rsid w:val="004D6FD6"/>
    <w:rsid w:val="004D729A"/>
    <w:rsid w:val="004D72AA"/>
    <w:rsid w:val="004D7551"/>
    <w:rsid w:val="004E2272"/>
    <w:rsid w:val="004E2F1A"/>
    <w:rsid w:val="004E30E2"/>
    <w:rsid w:val="004E40DB"/>
    <w:rsid w:val="004E424A"/>
    <w:rsid w:val="004E43A5"/>
    <w:rsid w:val="004E4A75"/>
    <w:rsid w:val="004E4E44"/>
    <w:rsid w:val="004E509C"/>
    <w:rsid w:val="004E5334"/>
    <w:rsid w:val="004E61EA"/>
    <w:rsid w:val="004E62D1"/>
    <w:rsid w:val="004E7136"/>
    <w:rsid w:val="004F02F0"/>
    <w:rsid w:val="004F06F9"/>
    <w:rsid w:val="004F0CC5"/>
    <w:rsid w:val="004F2700"/>
    <w:rsid w:val="004F2900"/>
    <w:rsid w:val="004F2F61"/>
    <w:rsid w:val="004F3077"/>
    <w:rsid w:val="004F479F"/>
    <w:rsid w:val="004F4957"/>
    <w:rsid w:val="004F4A82"/>
    <w:rsid w:val="004F5001"/>
    <w:rsid w:val="004F58AC"/>
    <w:rsid w:val="004F78D2"/>
    <w:rsid w:val="004F7C01"/>
    <w:rsid w:val="005006EC"/>
    <w:rsid w:val="0050078D"/>
    <w:rsid w:val="005017AF"/>
    <w:rsid w:val="00501E46"/>
    <w:rsid w:val="00502C53"/>
    <w:rsid w:val="00502F73"/>
    <w:rsid w:val="0050399B"/>
    <w:rsid w:val="0050544B"/>
    <w:rsid w:val="005060BC"/>
    <w:rsid w:val="00506580"/>
    <w:rsid w:val="00506D7E"/>
    <w:rsid w:val="005075CB"/>
    <w:rsid w:val="00507EC1"/>
    <w:rsid w:val="0051192D"/>
    <w:rsid w:val="00513446"/>
    <w:rsid w:val="00513784"/>
    <w:rsid w:val="00513A24"/>
    <w:rsid w:val="0051475A"/>
    <w:rsid w:val="00514A4F"/>
    <w:rsid w:val="00515227"/>
    <w:rsid w:val="00515812"/>
    <w:rsid w:val="00515B5E"/>
    <w:rsid w:val="00515D31"/>
    <w:rsid w:val="005161EA"/>
    <w:rsid w:val="00516E91"/>
    <w:rsid w:val="005177D8"/>
    <w:rsid w:val="00517A2C"/>
    <w:rsid w:val="0052059A"/>
    <w:rsid w:val="00520AAC"/>
    <w:rsid w:val="005218B9"/>
    <w:rsid w:val="00521B23"/>
    <w:rsid w:val="00521EEB"/>
    <w:rsid w:val="005228B2"/>
    <w:rsid w:val="005229B0"/>
    <w:rsid w:val="00523AEA"/>
    <w:rsid w:val="00525083"/>
    <w:rsid w:val="005256BA"/>
    <w:rsid w:val="0052584A"/>
    <w:rsid w:val="0052596E"/>
    <w:rsid w:val="00527379"/>
    <w:rsid w:val="0052779B"/>
    <w:rsid w:val="00527AF4"/>
    <w:rsid w:val="005301EF"/>
    <w:rsid w:val="0053022A"/>
    <w:rsid w:val="005309C1"/>
    <w:rsid w:val="0053136E"/>
    <w:rsid w:val="0053225A"/>
    <w:rsid w:val="005322BE"/>
    <w:rsid w:val="00532349"/>
    <w:rsid w:val="005327E0"/>
    <w:rsid w:val="00533737"/>
    <w:rsid w:val="005345B8"/>
    <w:rsid w:val="00534811"/>
    <w:rsid w:val="00534F44"/>
    <w:rsid w:val="00536170"/>
    <w:rsid w:val="00536513"/>
    <w:rsid w:val="0053703C"/>
    <w:rsid w:val="005370D9"/>
    <w:rsid w:val="00537F58"/>
    <w:rsid w:val="005406D7"/>
    <w:rsid w:val="00541599"/>
    <w:rsid w:val="00541FA5"/>
    <w:rsid w:val="00544632"/>
    <w:rsid w:val="00544672"/>
    <w:rsid w:val="00546702"/>
    <w:rsid w:val="00546B68"/>
    <w:rsid w:val="005470F9"/>
    <w:rsid w:val="00547112"/>
    <w:rsid w:val="00547ED0"/>
    <w:rsid w:val="005502F4"/>
    <w:rsid w:val="00550FD3"/>
    <w:rsid w:val="00552068"/>
    <w:rsid w:val="00552BD2"/>
    <w:rsid w:val="00552EE0"/>
    <w:rsid w:val="005531C7"/>
    <w:rsid w:val="005536DB"/>
    <w:rsid w:val="00553877"/>
    <w:rsid w:val="0055489B"/>
    <w:rsid w:val="005548C2"/>
    <w:rsid w:val="00554F51"/>
    <w:rsid w:val="00556BFE"/>
    <w:rsid w:val="005575D9"/>
    <w:rsid w:val="00557C0B"/>
    <w:rsid w:val="00560D9D"/>
    <w:rsid w:val="00561230"/>
    <w:rsid w:val="00561236"/>
    <w:rsid w:val="00561C46"/>
    <w:rsid w:val="00562DFA"/>
    <w:rsid w:val="00562E76"/>
    <w:rsid w:val="00563A97"/>
    <w:rsid w:val="00563D66"/>
    <w:rsid w:val="00564D4A"/>
    <w:rsid w:val="00566314"/>
    <w:rsid w:val="00566F75"/>
    <w:rsid w:val="00567986"/>
    <w:rsid w:val="00572752"/>
    <w:rsid w:val="00572AEF"/>
    <w:rsid w:val="00574C37"/>
    <w:rsid w:val="00575D4B"/>
    <w:rsid w:val="00577461"/>
    <w:rsid w:val="00577D02"/>
    <w:rsid w:val="00580051"/>
    <w:rsid w:val="00580E94"/>
    <w:rsid w:val="00581C7C"/>
    <w:rsid w:val="00582226"/>
    <w:rsid w:val="005828F9"/>
    <w:rsid w:val="0058326D"/>
    <w:rsid w:val="00583606"/>
    <w:rsid w:val="0058379B"/>
    <w:rsid w:val="00584E0A"/>
    <w:rsid w:val="00584FB7"/>
    <w:rsid w:val="0058512D"/>
    <w:rsid w:val="005857EE"/>
    <w:rsid w:val="00585A81"/>
    <w:rsid w:val="00585FDC"/>
    <w:rsid w:val="00586624"/>
    <w:rsid w:val="005871B9"/>
    <w:rsid w:val="00590AB0"/>
    <w:rsid w:val="005912DA"/>
    <w:rsid w:val="00591927"/>
    <w:rsid w:val="00591A88"/>
    <w:rsid w:val="00592162"/>
    <w:rsid w:val="00592329"/>
    <w:rsid w:val="00592378"/>
    <w:rsid w:val="00592412"/>
    <w:rsid w:val="00592C39"/>
    <w:rsid w:val="00592ED1"/>
    <w:rsid w:val="005936B6"/>
    <w:rsid w:val="00593934"/>
    <w:rsid w:val="0059484D"/>
    <w:rsid w:val="00594D82"/>
    <w:rsid w:val="00595001"/>
    <w:rsid w:val="005962DD"/>
    <w:rsid w:val="00597B51"/>
    <w:rsid w:val="00597B9F"/>
    <w:rsid w:val="005A1181"/>
    <w:rsid w:val="005A18B7"/>
    <w:rsid w:val="005A40D4"/>
    <w:rsid w:val="005A4421"/>
    <w:rsid w:val="005A53B2"/>
    <w:rsid w:val="005A558F"/>
    <w:rsid w:val="005A61AE"/>
    <w:rsid w:val="005A6210"/>
    <w:rsid w:val="005A65CF"/>
    <w:rsid w:val="005A6749"/>
    <w:rsid w:val="005A7BF5"/>
    <w:rsid w:val="005B018F"/>
    <w:rsid w:val="005B0B98"/>
    <w:rsid w:val="005B18AC"/>
    <w:rsid w:val="005B28C8"/>
    <w:rsid w:val="005B2C42"/>
    <w:rsid w:val="005B2F63"/>
    <w:rsid w:val="005B3968"/>
    <w:rsid w:val="005B4160"/>
    <w:rsid w:val="005B47E6"/>
    <w:rsid w:val="005B4BA0"/>
    <w:rsid w:val="005B52E4"/>
    <w:rsid w:val="005B576C"/>
    <w:rsid w:val="005B58BF"/>
    <w:rsid w:val="005B5AD3"/>
    <w:rsid w:val="005B5FF4"/>
    <w:rsid w:val="005B697E"/>
    <w:rsid w:val="005B69F4"/>
    <w:rsid w:val="005B72C9"/>
    <w:rsid w:val="005C0448"/>
    <w:rsid w:val="005C0B69"/>
    <w:rsid w:val="005C1885"/>
    <w:rsid w:val="005C29CB"/>
    <w:rsid w:val="005C2DD0"/>
    <w:rsid w:val="005C3740"/>
    <w:rsid w:val="005C37A0"/>
    <w:rsid w:val="005C3B60"/>
    <w:rsid w:val="005C41B0"/>
    <w:rsid w:val="005C47E6"/>
    <w:rsid w:val="005C4A5F"/>
    <w:rsid w:val="005C4BF8"/>
    <w:rsid w:val="005C53BC"/>
    <w:rsid w:val="005C6450"/>
    <w:rsid w:val="005C665A"/>
    <w:rsid w:val="005C71C6"/>
    <w:rsid w:val="005D032D"/>
    <w:rsid w:val="005D08F2"/>
    <w:rsid w:val="005D0EC4"/>
    <w:rsid w:val="005D1206"/>
    <w:rsid w:val="005D235F"/>
    <w:rsid w:val="005D281E"/>
    <w:rsid w:val="005D2C93"/>
    <w:rsid w:val="005D2DEC"/>
    <w:rsid w:val="005D3721"/>
    <w:rsid w:val="005D4548"/>
    <w:rsid w:val="005D45EB"/>
    <w:rsid w:val="005D47EF"/>
    <w:rsid w:val="005D4C8C"/>
    <w:rsid w:val="005D4D65"/>
    <w:rsid w:val="005D5075"/>
    <w:rsid w:val="005D539D"/>
    <w:rsid w:val="005D6709"/>
    <w:rsid w:val="005D6FB0"/>
    <w:rsid w:val="005D776F"/>
    <w:rsid w:val="005D7C74"/>
    <w:rsid w:val="005E063B"/>
    <w:rsid w:val="005E077E"/>
    <w:rsid w:val="005E1955"/>
    <w:rsid w:val="005E1A5C"/>
    <w:rsid w:val="005E1D3D"/>
    <w:rsid w:val="005E1D9E"/>
    <w:rsid w:val="005E2658"/>
    <w:rsid w:val="005E2969"/>
    <w:rsid w:val="005E36C2"/>
    <w:rsid w:val="005E373A"/>
    <w:rsid w:val="005E4218"/>
    <w:rsid w:val="005E46AE"/>
    <w:rsid w:val="005E591B"/>
    <w:rsid w:val="005E7BBB"/>
    <w:rsid w:val="005F059D"/>
    <w:rsid w:val="005F0C84"/>
    <w:rsid w:val="005F11B5"/>
    <w:rsid w:val="005F132D"/>
    <w:rsid w:val="005F1496"/>
    <w:rsid w:val="005F1B90"/>
    <w:rsid w:val="005F2A7D"/>
    <w:rsid w:val="005F2DC2"/>
    <w:rsid w:val="005F3B79"/>
    <w:rsid w:val="005F3D17"/>
    <w:rsid w:val="005F3E6B"/>
    <w:rsid w:val="005F403B"/>
    <w:rsid w:val="005F422C"/>
    <w:rsid w:val="005F4ACA"/>
    <w:rsid w:val="005F64E6"/>
    <w:rsid w:val="005F6502"/>
    <w:rsid w:val="005F7213"/>
    <w:rsid w:val="005F745D"/>
    <w:rsid w:val="005F7DDF"/>
    <w:rsid w:val="006002FB"/>
    <w:rsid w:val="00600FAD"/>
    <w:rsid w:val="006013C2"/>
    <w:rsid w:val="00602E88"/>
    <w:rsid w:val="006030B8"/>
    <w:rsid w:val="006071A5"/>
    <w:rsid w:val="00610A1B"/>
    <w:rsid w:val="00610CED"/>
    <w:rsid w:val="006118AF"/>
    <w:rsid w:val="00611C26"/>
    <w:rsid w:val="0061200D"/>
    <w:rsid w:val="006123C3"/>
    <w:rsid w:val="0061270E"/>
    <w:rsid w:val="0061356F"/>
    <w:rsid w:val="00613BBA"/>
    <w:rsid w:val="00614044"/>
    <w:rsid w:val="00615D84"/>
    <w:rsid w:val="00616B5A"/>
    <w:rsid w:val="00617831"/>
    <w:rsid w:val="00617DDE"/>
    <w:rsid w:val="00617E8F"/>
    <w:rsid w:val="006201BF"/>
    <w:rsid w:val="006202FB"/>
    <w:rsid w:val="0062071A"/>
    <w:rsid w:val="0062114A"/>
    <w:rsid w:val="00621461"/>
    <w:rsid w:val="00622310"/>
    <w:rsid w:val="0062231C"/>
    <w:rsid w:val="00622BC2"/>
    <w:rsid w:val="00623ED1"/>
    <w:rsid w:val="00624163"/>
    <w:rsid w:val="0062496D"/>
    <w:rsid w:val="00625448"/>
    <w:rsid w:val="00625926"/>
    <w:rsid w:val="00625E00"/>
    <w:rsid w:val="00625F1A"/>
    <w:rsid w:val="00626FC2"/>
    <w:rsid w:val="0062731C"/>
    <w:rsid w:val="0063025D"/>
    <w:rsid w:val="00630742"/>
    <w:rsid w:val="00630907"/>
    <w:rsid w:val="00630A56"/>
    <w:rsid w:val="00630FA2"/>
    <w:rsid w:val="00631381"/>
    <w:rsid w:val="00631D28"/>
    <w:rsid w:val="006326FD"/>
    <w:rsid w:val="0063278D"/>
    <w:rsid w:val="006328A1"/>
    <w:rsid w:val="00632BA0"/>
    <w:rsid w:val="00634713"/>
    <w:rsid w:val="00635838"/>
    <w:rsid w:val="00636016"/>
    <w:rsid w:val="00636075"/>
    <w:rsid w:val="00636238"/>
    <w:rsid w:val="00637BD4"/>
    <w:rsid w:val="00640086"/>
    <w:rsid w:val="006401E7"/>
    <w:rsid w:val="006410A3"/>
    <w:rsid w:val="00641A1F"/>
    <w:rsid w:val="006421B9"/>
    <w:rsid w:val="006429CB"/>
    <w:rsid w:val="00642AA4"/>
    <w:rsid w:val="0064346F"/>
    <w:rsid w:val="00643529"/>
    <w:rsid w:val="00643C44"/>
    <w:rsid w:val="0064411E"/>
    <w:rsid w:val="00644613"/>
    <w:rsid w:val="00645047"/>
    <w:rsid w:val="0064531A"/>
    <w:rsid w:val="00645F41"/>
    <w:rsid w:val="0064605A"/>
    <w:rsid w:val="00647E7A"/>
    <w:rsid w:val="0065073D"/>
    <w:rsid w:val="006510D7"/>
    <w:rsid w:val="00651DC6"/>
    <w:rsid w:val="00652E3F"/>
    <w:rsid w:val="00653250"/>
    <w:rsid w:val="00654601"/>
    <w:rsid w:val="0065480E"/>
    <w:rsid w:val="00656384"/>
    <w:rsid w:val="00656646"/>
    <w:rsid w:val="00657617"/>
    <w:rsid w:val="00657A76"/>
    <w:rsid w:val="00661F3F"/>
    <w:rsid w:val="006624EE"/>
    <w:rsid w:val="00662857"/>
    <w:rsid w:val="00662AFE"/>
    <w:rsid w:val="00663E9D"/>
    <w:rsid w:val="00664BCF"/>
    <w:rsid w:val="00665817"/>
    <w:rsid w:val="00667A7D"/>
    <w:rsid w:val="006712E3"/>
    <w:rsid w:val="006714CF"/>
    <w:rsid w:val="00672555"/>
    <w:rsid w:val="00673610"/>
    <w:rsid w:val="0067459F"/>
    <w:rsid w:val="00674B20"/>
    <w:rsid w:val="006752A7"/>
    <w:rsid w:val="00677359"/>
    <w:rsid w:val="00677AE7"/>
    <w:rsid w:val="0068094B"/>
    <w:rsid w:val="006809CD"/>
    <w:rsid w:val="00680E92"/>
    <w:rsid w:val="00680FCB"/>
    <w:rsid w:val="0068279F"/>
    <w:rsid w:val="00682CB0"/>
    <w:rsid w:val="00683410"/>
    <w:rsid w:val="00683F46"/>
    <w:rsid w:val="006849E0"/>
    <w:rsid w:val="006859FE"/>
    <w:rsid w:val="00686B8F"/>
    <w:rsid w:val="00686F1D"/>
    <w:rsid w:val="006874AD"/>
    <w:rsid w:val="0068781A"/>
    <w:rsid w:val="006878F9"/>
    <w:rsid w:val="00690A46"/>
    <w:rsid w:val="00690A7E"/>
    <w:rsid w:val="00690FAA"/>
    <w:rsid w:val="00691CEF"/>
    <w:rsid w:val="0069239C"/>
    <w:rsid w:val="00692AF1"/>
    <w:rsid w:val="0069309E"/>
    <w:rsid w:val="0069402D"/>
    <w:rsid w:val="0069476C"/>
    <w:rsid w:val="00695BB8"/>
    <w:rsid w:val="006964A5"/>
    <w:rsid w:val="00696576"/>
    <w:rsid w:val="006967EA"/>
    <w:rsid w:val="00696EA1"/>
    <w:rsid w:val="0069723D"/>
    <w:rsid w:val="006973B8"/>
    <w:rsid w:val="006A05BD"/>
    <w:rsid w:val="006A061F"/>
    <w:rsid w:val="006A0D92"/>
    <w:rsid w:val="006A1B12"/>
    <w:rsid w:val="006A24CA"/>
    <w:rsid w:val="006A380A"/>
    <w:rsid w:val="006A3995"/>
    <w:rsid w:val="006A40A3"/>
    <w:rsid w:val="006A4D98"/>
    <w:rsid w:val="006A4DDF"/>
    <w:rsid w:val="006A5273"/>
    <w:rsid w:val="006A529C"/>
    <w:rsid w:val="006A6915"/>
    <w:rsid w:val="006A7D16"/>
    <w:rsid w:val="006A7DA0"/>
    <w:rsid w:val="006B02A7"/>
    <w:rsid w:val="006B12E4"/>
    <w:rsid w:val="006B132E"/>
    <w:rsid w:val="006B1C1B"/>
    <w:rsid w:val="006B29BC"/>
    <w:rsid w:val="006B436A"/>
    <w:rsid w:val="006B43DC"/>
    <w:rsid w:val="006B52DE"/>
    <w:rsid w:val="006B57C6"/>
    <w:rsid w:val="006B6B60"/>
    <w:rsid w:val="006B7460"/>
    <w:rsid w:val="006B7762"/>
    <w:rsid w:val="006B77C5"/>
    <w:rsid w:val="006C0428"/>
    <w:rsid w:val="006C137A"/>
    <w:rsid w:val="006C1623"/>
    <w:rsid w:val="006C20F5"/>
    <w:rsid w:val="006C2AE3"/>
    <w:rsid w:val="006C3815"/>
    <w:rsid w:val="006C3F4D"/>
    <w:rsid w:val="006C424F"/>
    <w:rsid w:val="006C437C"/>
    <w:rsid w:val="006C52C8"/>
    <w:rsid w:val="006C6807"/>
    <w:rsid w:val="006C75CA"/>
    <w:rsid w:val="006C7C6B"/>
    <w:rsid w:val="006D0AA0"/>
    <w:rsid w:val="006D2BED"/>
    <w:rsid w:val="006D2DB1"/>
    <w:rsid w:val="006D2E39"/>
    <w:rsid w:val="006D3E4E"/>
    <w:rsid w:val="006D44BD"/>
    <w:rsid w:val="006D4FA5"/>
    <w:rsid w:val="006D5232"/>
    <w:rsid w:val="006D5B16"/>
    <w:rsid w:val="006D5D57"/>
    <w:rsid w:val="006D76C7"/>
    <w:rsid w:val="006E0191"/>
    <w:rsid w:val="006E0D3F"/>
    <w:rsid w:val="006E1FED"/>
    <w:rsid w:val="006E290B"/>
    <w:rsid w:val="006E29E0"/>
    <w:rsid w:val="006E2A4B"/>
    <w:rsid w:val="006E2B7F"/>
    <w:rsid w:val="006E368F"/>
    <w:rsid w:val="006E46B1"/>
    <w:rsid w:val="006E4A62"/>
    <w:rsid w:val="006E4B08"/>
    <w:rsid w:val="006E5167"/>
    <w:rsid w:val="006E56E5"/>
    <w:rsid w:val="006E5D86"/>
    <w:rsid w:val="006E663A"/>
    <w:rsid w:val="006F154D"/>
    <w:rsid w:val="006F24D1"/>
    <w:rsid w:val="006F2DD9"/>
    <w:rsid w:val="006F38AA"/>
    <w:rsid w:val="006F39C3"/>
    <w:rsid w:val="006F4C54"/>
    <w:rsid w:val="006F4FAF"/>
    <w:rsid w:val="006F5204"/>
    <w:rsid w:val="006F59EE"/>
    <w:rsid w:val="007000C1"/>
    <w:rsid w:val="007003F7"/>
    <w:rsid w:val="0070090E"/>
    <w:rsid w:val="00701F25"/>
    <w:rsid w:val="00703229"/>
    <w:rsid w:val="00703D05"/>
    <w:rsid w:val="00703E5F"/>
    <w:rsid w:val="00704E37"/>
    <w:rsid w:val="0070546C"/>
    <w:rsid w:val="00707024"/>
    <w:rsid w:val="0071029A"/>
    <w:rsid w:val="00710375"/>
    <w:rsid w:val="007104A4"/>
    <w:rsid w:val="00711007"/>
    <w:rsid w:val="00711174"/>
    <w:rsid w:val="00711FE5"/>
    <w:rsid w:val="00712C38"/>
    <w:rsid w:val="00714237"/>
    <w:rsid w:val="007145CE"/>
    <w:rsid w:val="007146DD"/>
    <w:rsid w:val="00714D09"/>
    <w:rsid w:val="00715211"/>
    <w:rsid w:val="0071579F"/>
    <w:rsid w:val="00715CEC"/>
    <w:rsid w:val="00716337"/>
    <w:rsid w:val="007173A9"/>
    <w:rsid w:val="007213F5"/>
    <w:rsid w:val="00721628"/>
    <w:rsid w:val="00722004"/>
    <w:rsid w:val="00722457"/>
    <w:rsid w:val="00722C03"/>
    <w:rsid w:val="00722E97"/>
    <w:rsid w:val="0072354F"/>
    <w:rsid w:val="0072375E"/>
    <w:rsid w:val="00723A0C"/>
    <w:rsid w:val="00724B3B"/>
    <w:rsid w:val="00725173"/>
    <w:rsid w:val="007263A9"/>
    <w:rsid w:val="007265D3"/>
    <w:rsid w:val="0073044C"/>
    <w:rsid w:val="00730FCC"/>
    <w:rsid w:val="00731251"/>
    <w:rsid w:val="0073150D"/>
    <w:rsid w:val="007320C3"/>
    <w:rsid w:val="00732DA4"/>
    <w:rsid w:val="007331D0"/>
    <w:rsid w:val="0073342A"/>
    <w:rsid w:val="00733B65"/>
    <w:rsid w:val="00733E48"/>
    <w:rsid w:val="00733E8D"/>
    <w:rsid w:val="00734698"/>
    <w:rsid w:val="00735192"/>
    <w:rsid w:val="0073547A"/>
    <w:rsid w:val="0073672A"/>
    <w:rsid w:val="007371A3"/>
    <w:rsid w:val="007373E7"/>
    <w:rsid w:val="00737E9B"/>
    <w:rsid w:val="0074008A"/>
    <w:rsid w:val="00740876"/>
    <w:rsid w:val="0074135D"/>
    <w:rsid w:val="00741B9E"/>
    <w:rsid w:val="00741DE6"/>
    <w:rsid w:val="007433D3"/>
    <w:rsid w:val="00743DD6"/>
    <w:rsid w:val="00743FAA"/>
    <w:rsid w:val="007440A5"/>
    <w:rsid w:val="00744DC4"/>
    <w:rsid w:val="00744EFA"/>
    <w:rsid w:val="00745259"/>
    <w:rsid w:val="007463FB"/>
    <w:rsid w:val="007464B6"/>
    <w:rsid w:val="00746761"/>
    <w:rsid w:val="00746B86"/>
    <w:rsid w:val="00750BAA"/>
    <w:rsid w:val="007512B8"/>
    <w:rsid w:val="007524C6"/>
    <w:rsid w:val="007527C5"/>
    <w:rsid w:val="0075333A"/>
    <w:rsid w:val="00753837"/>
    <w:rsid w:val="00753C1C"/>
    <w:rsid w:val="00755F7B"/>
    <w:rsid w:val="00756524"/>
    <w:rsid w:val="007568DD"/>
    <w:rsid w:val="007576D0"/>
    <w:rsid w:val="00757768"/>
    <w:rsid w:val="00763475"/>
    <w:rsid w:val="007639F4"/>
    <w:rsid w:val="00763D77"/>
    <w:rsid w:val="007654C9"/>
    <w:rsid w:val="007654EE"/>
    <w:rsid w:val="007658F1"/>
    <w:rsid w:val="00765AFE"/>
    <w:rsid w:val="00765BDC"/>
    <w:rsid w:val="00765C26"/>
    <w:rsid w:val="00766761"/>
    <w:rsid w:val="00766AEC"/>
    <w:rsid w:val="007670E5"/>
    <w:rsid w:val="00767C88"/>
    <w:rsid w:val="00770804"/>
    <w:rsid w:val="00770B9B"/>
    <w:rsid w:val="00770BF9"/>
    <w:rsid w:val="00771126"/>
    <w:rsid w:val="007712BB"/>
    <w:rsid w:val="00771427"/>
    <w:rsid w:val="00771842"/>
    <w:rsid w:val="00771F1A"/>
    <w:rsid w:val="00772527"/>
    <w:rsid w:val="00772614"/>
    <w:rsid w:val="00772890"/>
    <w:rsid w:val="00773F74"/>
    <w:rsid w:val="0077403B"/>
    <w:rsid w:val="0077407C"/>
    <w:rsid w:val="007745C2"/>
    <w:rsid w:val="00775719"/>
    <w:rsid w:val="00775F5D"/>
    <w:rsid w:val="007772F1"/>
    <w:rsid w:val="007773A7"/>
    <w:rsid w:val="0077788D"/>
    <w:rsid w:val="007801AB"/>
    <w:rsid w:val="007803D0"/>
    <w:rsid w:val="00780512"/>
    <w:rsid w:val="007810C6"/>
    <w:rsid w:val="0078124E"/>
    <w:rsid w:val="00781580"/>
    <w:rsid w:val="00781978"/>
    <w:rsid w:val="00782BDF"/>
    <w:rsid w:val="00782FD2"/>
    <w:rsid w:val="00783989"/>
    <w:rsid w:val="00783E7D"/>
    <w:rsid w:val="00784D57"/>
    <w:rsid w:val="0078517F"/>
    <w:rsid w:val="00786559"/>
    <w:rsid w:val="007868DF"/>
    <w:rsid w:val="00786938"/>
    <w:rsid w:val="00786A12"/>
    <w:rsid w:val="00786F78"/>
    <w:rsid w:val="00790922"/>
    <w:rsid w:val="00790D74"/>
    <w:rsid w:val="00790E00"/>
    <w:rsid w:val="00794561"/>
    <w:rsid w:val="007955FF"/>
    <w:rsid w:val="0079636E"/>
    <w:rsid w:val="00796B62"/>
    <w:rsid w:val="00797852"/>
    <w:rsid w:val="00797A51"/>
    <w:rsid w:val="007A0AA9"/>
    <w:rsid w:val="007A0E83"/>
    <w:rsid w:val="007A15D7"/>
    <w:rsid w:val="007A18AE"/>
    <w:rsid w:val="007A1A70"/>
    <w:rsid w:val="007A1BC8"/>
    <w:rsid w:val="007A1BFD"/>
    <w:rsid w:val="007A211D"/>
    <w:rsid w:val="007A3A06"/>
    <w:rsid w:val="007A3AFF"/>
    <w:rsid w:val="007A3B38"/>
    <w:rsid w:val="007A3F66"/>
    <w:rsid w:val="007A4EFA"/>
    <w:rsid w:val="007A608B"/>
    <w:rsid w:val="007A638B"/>
    <w:rsid w:val="007A6FC9"/>
    <w:rsid w:val="007A7703"/>
    <w:rsid w:val="007A7F85"/>
    <w:rsid w:val="007B02DF"/>
    <w:rsid w:val="007B0C7C"/>
    <w:rsid w:val="007B0FD3"/>
    <w:rsid w:val="007B1B27"/>
    <w:rsid w:val="007B1E33"/>
    <w:rsid w:val="007B2BC1"/>
    <w:rsid w:val="007B2F30"/>
    <w:rsid w:val="007B343B"/>
    <w:rsid w:val="007B3596"/>
    <w:rsid w:val="007B3A5F"/>
    <w:rsid w:val="007B3B94"/>
    <w:rsid w:val="007B4DDB"/>
    <w:rsid w:val="007B7B92"/>
    <w:rsid w:val="007B7C08"/>
    <w:rsid w:val="007C035A"/>
    <w:rsid w:val="007C0675"/>
    <w:rsid w:val="007C06E5"/>
    <w:rsid w:val="007C1A12"/>
    <w:rsid w:val="007C284F"/>
    <w:rsid w:val="007C345D"/>
    <w:rsid w:val="007C34E0"/>
    <w:rsid w:val="007C536A"/>
    <w:rsid w:val="007C58F0"/>
    <w:rsid w:val="007C604D"/>
    <w:rsid w:val="007C6C08"/>
    <w:rsid w:val="007C6CC7"/>
    <w:rsid w:val="007C6D4C"/>
    <w:rsid w:val="007C707C"/>
    <w:rsid w:val="007C70FE"/>
    <w:rsid w:val="007C72AA"/>
    <w:rsid w:val="007C7335"/>
    <w:rsid w:val="007D0273"/>
    <w:rsid w:val="007D0C65"/>
    <w:rsid w:val="007D1764"/>
    <w:rsid w:val="007D46FA"/>
    <w:rsid w:val="007D498B"/>
    <w:rsid w:val="007D5A76"/>
    <w:rsid w:val="007D5C73"/>
    <w:rsid w:val="007D6529"/>
    <w:rsid w:val="007D7B7B"/>
    <w:rsid w:val="007D7D7C"/>
    <w:rsid w:val="007E00F9"/>
    <w:rsid w:val="007E050E"/>
    <w:rsid w:val="007E0D4F"/>
    <w:rsid w:val="007E1B87"/>
    <w:rsid w:val="007E1BC9"/>
    <w:rsid w:val="007E24A5"/>
    <w:rsid w:val="007E3624"/>
    <w:rsid w:val="007E3B7A"/>
    <w:rsid w:val="007E3B7B"/>
    <w:rsid w:val="007E3C8D"/>
    <w:rsid w:val="007E450A"/>
    <w:rsid w:val="007E496C"/>
    <w:rsid w:val="007E4B61"/>
    <w:rsid w:val="007E4C2B"/>
    <w:rsid w:val="007E547D"/>
    <w:rsid w:val="007E70C6"/>
    <w:rsid w:val="007E7103"/>
    <w:rsid w:val="007F00AC"/>
    <w:rsid w:val="007F22FC"/>
    <w:rsid w:val="007F3F3C"/>
    <w:rsid w:val="007F4414"/>
    <w:rsid w:val="007F460E"/>
    <w:rsid w:val="007F4868"/>
    <w:rsid w:val="007F4DA2"/>
    <w:rsid w:val="007F5429"/>
    <w:rsid w:val="007F543C"/>
    <w:rsid w:val="007F6639"/>
    <w:rsid w:val="007F7123"/>
    <w:rsid w:val="007F7757"/>
    <w:rsid w:val="007F7A1E"/>
    <w:rsid w:val="00800F21"/>
    <w:rsid w:val="0080119E"/>
    <w:rsid w:val="0080135A"/>
    <w:rsid w:val="00801CF5"/>
    <w:rsid w:val="00801E08"/>
    <w:rsid w:val="0080346E"/>
    <w:rsid w:val="008043BF"/>
    <w:rsid w:val="00804F54"/>
    <w:rsid w:val="008055D2"/>
    <w:rsid w:val="008071D9"/>
    <w:rsid w:val="00807DDB"/>
    <w:rsid w:val="008104BA"/>
    <w:rsid w:val="00810989"/>
    <w:rsid w:val="008112F5"/>
    <w:rsid w:val="00811CFB"/>
    <w:rsid w:val="00812349"/>
    <w:rsid w:val="0081242C"/>
    <w:rsid w:val="00812AF5"/>
    <w:rsid w:val="00812C26"/>
    <w:rsid w:val="00814156"/>
    <w:rsid w:val="008156DB"/>
    <w:rsid w:val="00815FC4"/>
    <w:rsid w:val="00816AE9"/>
    <w:rsid w:val="008179A5"/>
    <w:rsid w:val="008179BC"/>
    <w:rsid w:val="008205B7"/>
    <w:rsid w:val="0082121D"/>
    <w:rsid w:val="00821282"/>
    <w:rsid w:val="0082178A"/>
    <w:rsid w:val="00821D12"/>
    <w:rsid w:val="0082229B"/>
    <w:rsid w:val="00822699"/>
    <w:rsid w:val="008228EA"/>
    <w:rsid w:val="008231ED"/>
    <w:rsid w:val="00823396"/>
    <w:rsid w:val="00823A15"/>
    <w:rsid w:val="0082443F"/>
    <w:rsid w:val="008261A5"/>
    <w:rsid w:val="00826266"/>
    <w:rsid w:val="008268BC"/>
    <w:rsid w:val="00826BB4"/>
    <w:rsid w:val="00826E30"/>
    <w:rsid w:val="00826ED8"/>
    <w:rsid w:val="00827502"/>
    <w:rsid w:val="008301D0"/>
    <w:rsid w:val="008303F7"/>
    <w:rsid w:val="00830ACD"/>
    <w:rsid w:val="00830D9A"/>
    <w:rsid w:val="0083275A"/>
    <w:rsid w:val="00833246"/>
    <w:rsid w:val="00833F11"/>
    <w:rsid w:val="008346BD"/>
    <w:rsid w:val="00834855"/>
    <w:rsid w:val="00834E05"/>
    <w:rsid w:val="00835188"/>
    <w:rsid w:val="008356D1"/>
    <w:rsid w:val="00835BF2"/>
    <w:rsid w:val="00835F35"/>
    <w:rsid w:val="00835F84"/>
    <w:rsid w:val="00837DA1"/>
    <w:rsid w:val="00840557"/>
    <w:rsid w:val="00840D20"/>
    <w:rsid w:val="0084102A"/>
    <w:rsid w:val="008410B5"/>
    <w:rsid w:val="0084141E"/>
    <w:rsid w:val="008419BF"/>
    <w:rsid w:val="00841B3B"/>
    <w:rsid w:val="008421A2"/>
    <w:rsid w:val="00843CAE"/>
    <w:rsid w:val="00845312"/>
    <w:rsid w:val="008453EC"/>
    <w:rsid w:val="00845D4E"/>
    <w:rsid w:val="008469E9"/>
    <w:rsid w:val="00847904"/>
    <w:rsid w:val="00850373"/>
    <w:rsid w:val="00850CB8"/>
    <w:rsid w:val="00851122"/>
    <w:rsid w:val="008523FD"/>
    <w:rsid w:val="00853113"/>
    <w:rsid w:val="00853B82"/>
    <w:rsid w:val="00854E25"/>
    <w:rsid w:val="008561B8"/>
    <w:rsid w:val="00857170"/>
    <w:rsid w:val="00857B75"/>
    <w:rsid w:val="00857DCE"/>
    <w:rsid w:val="008600EC"/>
    <w:rsid w:val="00861288"/>
    <w:rsid w:val="00861433"/>
    <w:rsid w:val="00861DBF"/>
    <w:rsid w:val="0086362C"/>
    <w:rsid w:val="00863AB5"/>
    <w:rsid w:val="00863ADE"/>
    <w:rsid w:val="00864084"/>
    <w:rsid w:val="0086440A"/>
    <w:rsid w:val="00864EF6"/>
    <w:rsid w:val="00865171"/>
    <w:rsid w:val="008660AC"/>
    <w:rsid w:val="00866107"/>
    <w:rsid w:val="0086637A"/>
    <w:rsid w:val="00866435"/>
    <w:rsid w:val="008664DE"/>
    <w:rsid w:val="00866878"/>
    <w:rsid w:val="00866BB4"/>
    <w:rsid w:val="00867DAB"/>
    <w:rsid w:val="00870571"/>
    <w:rsid w:val="00870A60"/>
    <w:rsid w:val="00870D51"/>
    <w:rsid w:val="008714EE"/>
    <w:rsid w:val="00872DB3"/>
    <w:rsid w:val="00873CCB"/>
    <w:rsid w:val="008760A9"/>
    <w:rsid w:val="008762AB"/>
    <w:rsid w:val="008775E4"/>
    <w:rsid w:val="00880DA8"/>
    <w:rsid w:val="008813E0"/>
    <w:rsid w:val="00881762"/>
    <w:rsid w:val="0088229F"/>
    <w:rsid w:val="0088384D"/>
    <w:rsid w:val="0088563F"/>
    <w:rsid w:val="00886F74"/>
    <w:rsid w:val="0088717F"/>
    <w:rsid w:val="00887383"/>
    <w:rsid w:val="00887E64"/>
    <w:rsid w:val="008900B3"/>
    <w:rsid w:val="008906BB"/>
    <w:rsid w:val="00890A92"/>
    <w:rsid w:val="00891550"/>
    <w:rsid w:val="00892F67"/>
    <w:rsid w:val="008932DA"/>
    <w:rsid w:val="00893CC6"/>
    <w:rsid w:val="00894F60"/>
    <w:rsid w:val="008961DF"/>
    <w:rsid w:val="008968D6"/>
    <w:rsid w:val="008969D1"/>
    <w:rsid w:val="008970E1"/>
    <w:rsid w:val="00897436"/>
    <w:rsid w:val="008A08EF"/>
    <w:rsid w:val="008A0AAB"/>
    <w:rsid w:val="008A0D6C"/>
    <w:rsid w:val="008A2420"/>
    <w:rsid w:val="008A2547"/>
    <w:rsid w:val="008A35CF"/>
    <w:rsid w:val="008A43E3"/>
    <w:rsid w:val="008A524A"/>
    <w:rsid w:val="008A5463"/>
    <w:rsid w:val="008A62CC"/>
    <w:rsid w:val="008A6578"/>
    <w:rsid w:val="008A6AC1"/>
    <w:rsid w:val="008A6EC7"/>
    <w:rsid w:val="008A7249"/>
    <w:rsid w:val="008A7394"/>
    <w:rsid w:val="008B05F4"/>
    <w:rsid w:val="008B1A6A"/>
    <w:rsid w:val="008B2034"/>
    <w:rsid w:val="008B2E04"/>
    <w:rsid w:val="008B3055"/>
    <w:rsid w:val="008B45D2"/>
    <w:rsid w:val="008B4F53"/>
    <w:rsid w:val="008B573E"/>
    <w:rsid w:val="008B5C93"/>
    <w:rsid w:val="008B5E1C"/>
    <w:rsid w:val="008B630E"/>
    <w:rsid w:val="008B6776"/>
    <w:rsid w:val="008B6B33"/>
    <w:rsid w:val="008C177D"/>
    <w:rsid w:val="008C1A5E"/>
    <w:rsid w:val="008C2902"/>
    <w:rsid w:val="008C2EE9"/>
    <w:rsid w:val="008C366A"/>
    <w:rsid w:val="008C3C53"/>
    <w:rsid w:val="008C4634"/>
    <w:rsid w:val="008C4826"/>
    <w:rsid w:val="008C483C"/>
    <w:rsid w:val="008C57AB"/>
    <w:rsid w:val="008C6557"/>
    <w:rsid w:val="008C6861"/>
    <w:rsid w:val="008C6AAD"/>
    <w:rsid w:val="008C74A6"/>
    <w:rsid w:val="008C77A2"/>
    <w:rsid w:val="008C78F0"/>
    <w:rsid w:val="008D046C"/>
    <w:rsid w:val="008D0590"/>
    <w:rsid w:val="008D1489"/>
    <w:rsid w:val="008D1912"/>
    <w:rsid w:val="008D2E5D"/>
    <w:rsid w:val="008D50CC"/>
    <w:rsid w:val="008D5249"/>
    <w:rsid w:val="008D5F90"/>
    <w:rsid w:val="008D6214"/>
    <w:rsid w:val="008D6531"/>
    <w:rsid w:val="008D6BC3"/>
    <w:rsid w:val="008D732A"/>
    <w:rsid w:val="008D793A"/>
    <w:rsid w:val="008D7CC8"/>
    <w:rsid w:val="008D7EB0"/>
    <w:rsid w:val="008E0A4E"/>
    <w:rsid w:val="008E0DCA"/>
    <w:rsid w:val="008E152A"/>
    <w:rsid w:val="008E1A05"/>
    <w:rsid w:val="008E1E9E"/>
    <w:rsid w:val="008E3219"/>
    <w:rsid w:val="008E4775"/>
    <w:rsid w:val="008E4796"/>
    <w:rsid w:val="008E62FD"/>
    <w:rsid w:val="008E66FD"/>
    <w:rsid w:val="008E7089"/>
    <w:rsid w:val="008E735D"/>
    <w:rsid w:val="008F006A"/>
    <w:rsid w:val="008F0A0F"/>
    <w:rsid w:val="008F1781"/>
    <w:rsid w:val="008F2403"/>
    <w:rsid w:val="008F48D5"/>
    <w:rsid w:val="008F569B"/>
    <w:rsid w:val="008F5870"/>
    <w:rsid w:val="008F59BE"/>
    <w:rsid w:val="008F5BE9"/>
    <w:rsid w:val="008F6608"/>
    <w:rsid w:val="008F66CB"/>
    <w:rsid w:val="008F7539"/>
    <w:rsid w:val="008F76EF"/>
    <w:rsid w:val="008F7AA0"/>
    <w:rsid w:val="0090130E"/>
    <w:rsid w:val="00901422"/>
    <w:rsid w:val="00901A13"/>
    <w:rsid w:val="00901D47"/>
    <w:rsid w:val="0090318D"/>
    <w:rsid w:val="00903B2A"/>
    <w:rsid w:val="00904661"/>
    <w:rsid w:val="00904D3F"/>
    <w:rsid w:val="00905BB9"/>
    <w:rsid w:val="00905E37"/>
    <w:rsid w:val="0090656A"/>
    <w:rsid w:val="00907107"/>
    <w:rsid w:val="00907987"/>
    <w:rsid w:val="0091048D"/>
    <w:rsid w:val="009121D0"/>
    <w:rsid w:val="00913529"/>
    <w:rsid w:val="009141F1"/>
    <w:rsid w:val="00914333"/>
    <w:rsid w:val="00916A22"/>
    <w:rsid w:val="00917CAB"/>
    <w:rsid w:val="00920D70"/>
    <w:rsid w:val="00921371"/>
    <w:rsid w:val="00921457"/>
    <w:rsid w:val="00923127"/>
    <w:rsid w:val="0092316A"/>
    <w:rsid w:val="00923D30"/>
    <w:rsid w:val="00925FDE"/>
    <w:rsid w:val="00926B8A"/>
    <w:rsid w:val="00927082"/>
    <w:rsid w:val="0093039E"/>
    <w:rsid w:val="009314F2"/>
    <w:rsid w:val="009320AF"/>
    <w:rsid w:val="0093244A"/>
    <w:rsid w:val="00933A12"/>
    <w:rsid w:val="00934F62"/>
    <w:rsid w:val="0093565E"/>
    <w:rsid w:val="009359E7"/>
    <w:rsid w:val="0093774B"/>
    <w:rsid w:val="00937D06"/>
    <w:rsid w:val="00937EFC"/>
    <w:rsid w:val="00940A66"/>
    <w:rsid w:val="00940ECB"/>
    <w:rsid w:val="00940F59"/>
    <w:rsid w:val="00941C03"/>
    <w:rsid w:val="00941C8E"/>
    <w:rsid w:val="009426F6"/>
    <w:rsid w:val="0094274A"/>
    <w:rsid w:val="00943564"/>
    <w:rsid w:val="00943868"/>
    <w:rsid w:val="00944077"/>
    <w:rsid w:val="00944741"/>
    <w:rsid w:val="009449B2"/>
    <w:rsid w:val="00945D9C"/>
    <w:rsid w:val="00946439"/>
    <w:rsid w:val="00950165"/>
    <w:rsid w:val="0095078C"/>
    <w:rsid w:val="00951FEB"/>
    <w:rsid w:val="0095209C"/>
    <w:rsid w:val="009529D8"/>
    <w:rsid w:val="00954539"/>
    <w:rsid w:val="0095519B"/>
    <w:rsid w:val="009553B8"/>
    <w:rsid w:val="0095648A"/>
    <w:rsid w:val="00956495"/>
    <w:rsid w:val="009569F1"/>
    <w:rsid w:val="0096200E"/>
    <w:rsid w:val="00963E89"/>
    <w:rsid w:val="00964DB6"/>
    <w:rsid w:val="00965FAF"/>
    <w:rsid w:val="00965FB1"/>
    <w:rsid w:val="0096630C"/>
    <w:rsid w:val="009664FF"/>
    <w:rsid w:val="009668AC"/>
    <w:rsid w:val="00966E01"/>
    <w:rsid w:val="0096723E"/>
    <w:rsid w:val="009674F8"/>
    <w:rsid w:val="00967DD1"/>
    <w:rsid w:val="00967F87"/>
    <w:rsid w:val="009709D6"/>
    <w:rsid w:val="009714C1"/>
    <w:rsid w:val="00972451"/>
    <w:rsid w:val="0097385A"/>
    <w:rsid w:val="009751F7"/>
    <w:rsid w:val="009760BA"/>
    <w:rsid w:val="00976BB4"/>
    <w:rsid w:val="00976C24"/>
    <w:rsid w:val="00976DA5"/>
    <w:rsid w:val="00976E17"/>
    <w:rsid w:val="009773B0"/>
    <w:rsid w:val="00977E44"/>
    <w:rsid w:val="0098085A"/>
    <w:rsid w:val="009812AC"/>
    <w:rsid w:val="009813C2"/>
    <w:rsid w:val="00981419"/>
    <w:rsid w:val="009818F7"/>
    <w:rsid w:val="00981D3C"/>
    <w:rsid w:val="00983D08"/>
    <w:rsid w:val="00984286"/>
    <w:rsid w:val="00984BE9"/>
    <w:rsid w:val="009850BD"/>
    <w:rsid w:val="00985935"/>
    <w:rsid w:val="00985A8D"/>
    <w:rsid w:val="00985F64"/>
    <w:rsid w:val="009865A1"/>
    <w:rsid w:val="009876DF"/>
    <w:rsid w:val="00987726"/>
    <w:rsid w:val="00987D78"/>
    <w:rsid w:val="00991B78"/>
    <w:rsid w:val="0099279C"/>
    <w:rsid w:val="00992C4F"/>
    <w:rsid w:val="00992D79"/>
    <w:rsid w:val="00992D9D"/>
    <w:rsid w:val="00992DEF"/>
    <w:rsid w:val="00992EEB"/>
    <w:rsid w:val="00993189"/>
    <w:rsid w:val="00994017"/>
    <w:rsid w:val="00994831"/>
    <w:rsid w:val="00994BF9"/>
    <w:rsid w:val="00994F50"/>
    <w:rsid w:val="00997728"/>
    <w:rsid w:val="009A11A4"/>
    <w:rsid w:val="009A18A3"/>
    <w:rsid w:val="009A1EE9"/>
    <w:rsid w:val="009A2339"/>
    <w:rsid w:val="009A2ABF"/>
    <w:rsid w:val="009A2DAD"/>
    <w:rsid w:val="009A3007"/>
    <w:rsid w:val="009A3701"/>
    <w:rsid w:val="009A421D"/>
    <w:rsid w:val="009A52E2"/>
    <w:rsid w:val="009A59A5"/>
    <w:rsid w:val="009A5F9E"/>
    <w:rsid w:val="009A7A91"/>
    <w:rsid w:val="009B057F"/>
    <w:rsid w:val="009B1401"/>
    <w:rsid w:val="009B1680"/>
    <w:rsid w:val="009B26D8"/>
    <w:rsid w:val="009B36BE"/>
    <w:rsid w:val="009B3701"/>
    <w:rsid w:val="009B45D1"/>
    <w:rsid w:val="009B46AD"/>
    <w:rsid w:val="009B4747"/>
    <w:rsid w:val="009B5616"/>
    <w:rsid w:val="009B571F"/>
    <w:rsid w:val="009B5E53"/>
    <w:rsid w:val="009B6CCB"/>
    <w:rsid w:val="009B751E"/>
    <w:rsid w:val="009B7A52"/>
    <w:rsid w:val="009C0DC0"/>
    <w:rsid w:val="009C0DDA"/>
    <w:rsid w:val="009C1381"/>
    <w:rsid w:val="009C1F92"/>
    <w:rsid w:val="009C27C6"/>
    <w:rsid w:val="009C4495"/>
    <w:rsid w:val="009C456F"/>
    <w:rsid w:val="009C51EB"/>
    <w:rsid w:val="009C5D1A"/>
    <w:rsid w:val="009C5F78"/>
    <w:rsid w:val="009D014F"/>
    <w:rsid w:val="009D1125"/>
    <w:rsid w:val="009D1630"/>
    <w:rsid w:val="009D1711"/>
    <w:rsid w:val="009D543D"/>
    <w:rsid w:val="009D6044"/>
    <w:rsid w:val="009D6CC2"/>
    <w:rsid w:val="009E0312"/>
    <w:rsid w:val="009E1C42"/>
    <w:rsid w:val="009E2398"/>
    <w:rsid w:val="009E254D"/>
    <w:rsid w:val="009E27BB"/>
    <w:rsid w:val="009E33E2"/>
    <w:rsid w:val="009E38B0"/>
    <w:rsid w:val="009E3FF3"/>
    <w:rsid w:val="009E4D31"/>
    <w:rsid w:val="009E51CC"/>
    <w:rsid w:val="009E5BC9"/>
    <w:rsid w:val="009E66A8"/>
    <w:rsid w:val="009E67E2"/>
    <w:rsid w:val="009E6CCD"/>
    <w:rsid w:val="009E7AFF"/>
    <w:rsid w:val="009F050E"/>
    <w:rsid w:val="009F05C5"/>
    <w:rsid w:val="009F0945"/>
    <w:rsid w:val="009F0D56"/>
    <w:rsid w:val="009F113D"/>
    <w:rsid w:val="009F125C"/>
    <w:rsid w:val="009F12C0"/>
    <w:rsid w:val="009F1747"/>
    <w:rsid w:val="009F18CB"/>
    <w:rsid w:val="009F1CBC"/>
    <w:rsid w:val="009F3E61"/>
    <w:rsid w:val="009F49CE"/>
    <w:rsid w:val="009F50DA"/>
    <w:rsid w:val="009F5102"/>
    <w:rsid w:val="009F5C36"/>
    <w:rsid w:val="009F67CC"/>
    <w:rsid w:val="009F6BD0"/>
    <w:rsid w:val="009F71D1"/>
    <w:rsid w:val="009F7A91"/>
    <w:rsid w:val="009F7B92"/>
    <w:rsid w:val="00A00A3E"/>
    <w:rsid w:val="00A00A67"/>
    <w:rsid w:val="00A01EAF"/>
    <w:rsid w:val="00A01F28"/>
    <w:rsid w:val="00A02439"/>
    <w:rsid w:val="00A0277C"/>
    <w:rsid w:val="00A0294D"/>
    <w:rsid w:val="00A02FDC"/>
    <w:rsid w:val="00A031CA"/>
    <w:rsid w:val="00A03246"/>
    <w:rsid w:val="00A034DB"/>
    <w:rsid w:val="00A04175"/>
    <w:rsid w:val="00A042EF"/>
    <w:rsid w:val="00A042FA"/>
    <w:rsid w:val="00A04959"/>
    <w:rsid w:val="00A04D77"/>
    <w:rsid w:val="00A05085"/>
    <w:rsid w:val="00A05555"/>
    <w:rsid w:val="00A073A0"/>
    <w:rsid w:val="00A10187"/>
    <w:rsid w:val="00A1073E"/>
    <w:rsid w:val="00A1080A"/>
    <w:rsid w:val="00A10D22"/>
    <w:rsid w:val="00A11183"/>
    <w:rsid w:val="00A11DC9"/>
    <w:rsid w:val="00A128FB"/>
    <w:rsid w:val="00A12F10"/>
    <w:rsid w:val="00A12F4D"/>
    <w:rsid w:val="00A12FC9"/>
    <w:rsid w:val="00A130E4"/>
    <w:rsid w:val="00A1386B"/>
    <w:rsid w:val="00A1492F"/>
    <w:rsid w:val="00A150A7"/>
    <w:rsid w:val="00A164DB"/>
    <w:rsid w:val="00A16B91"/>
    <w:rsid w:val="00A16D27"/>
    <w:rsid w:val="00A170B7"/>
    <w:rsid w:val="00A17A92"/>
    <w:rsid w:val="00A17D20"/>
    <w:rsid w:val="00A205DC"/>
    <w:rsid w:val="00A20B79"/>
    <w:rsid w:val="00A214F1"/>
    <w:rsid w:val="00A21C52"/>
    <w:rsid w:val="00A228CC"/>
    <w:rsid w:val="00A235A2"/>
    <w:rsid w:val="00A2369A"/>
    <w:rsid w:val="00A238C8"/>
    <w:rsid w:val="00A23FE3"/>
    <w:rsid w:val="00A24249"/>
    <w:rsid w:val="00A2517D"/>
    <w:rsid w:val="00A25E6B"/>
    <w:rsid w:val="00A26B16"/>
    <w:rsid w:val="00A26B9E"/>
    <w:rsid w:val="00A26CAC"/>
    <w:rsid w:val="00A274D8"/>
    <w:rsid w:val="00A275E5"/>
    <w:rsid w:val="00A276CF"/>
    <w:rsid w:val="00A27A64"/>
    <w:rsid w:val="00A30840"/>
    <w:rsid w:val="00A31054"/>
    <w:rsid w:val="00A310CE"/>
    <w:rsid w:val="00A31ACC"/>
    <w:rsid w:val="00A3247B"/>
    <w:rsid w:val="00A32F07"/>
    <w:rsid w:val="00A3411B"/>
    <w:rsid w:val="00A3428E"/>
    <w:rsid w:val="00A34464"/>
    <w:rsid w:val="00A346AF"/>
    <w:rsid w:val="00A35D2D"/>
    <w:rsid w:val="00A36C83"/>
    <w:rsid w:val="00A40213"/>
    <w:rsid w:val="00A41030"/>
    <w:rsid w:val="00A41351"/>
    <w:rsid w:val="00A4236A"/>
    <w:rsid w:val="00A42FD5"/>
    <w:rsid w:val="00A43114"/>
    <w:rsid w:val="00A43423"/>
    <w:rsid w:val="00A43607"/>
    <w:rsid w:val="00A437EB"/>
    <w:rsid w:val="00A43BB1"/>
    <w:rsid w:val="00A44088"/>
    <w:rsid w:val="00A44ECE"/>
    <w:rsid w:val="00A45469"/>
    <w:rsid w:val="00A46236"/>
    <w:rsid w:val="00A46429"/>
    <w:rsid w:val="00A4642D"/>
    <w:rsid w:val="00A47B45"/>
    <w:rsid w:val="00A47E20"/>
    <w:rsid w:val="00A5083E"/>
    <w:rsid w:val="00A5176C"/>
    <w:rsid w:val="00A5287A"/>
    <w:rsid w:val="00A52A7E"/>
    <w:rsid w:val="00A53576"/>
    <w:rsid w:val="00A54337"/>
    <w:rsid w:val="00A54EDB"/>
    <w:rsid w:val="00A558DA"/>
    <w:rsid w:val="00A56526"/>
    <w:rsid w:val="00A5679E"/>
    <w:rsid w:val="00A574AF"/>
    <w:rsid w:val="00A57AD8"/>
    <w:rsid w:val="00A57FD2"/>
    <w:rsid w:val="00A60820"/>
    <w:rsid w:val="00A609A3"/>
    <w:rsid w:val="00A60EBB"/>
    <w:rsid w:val="00A61169"/>
    <w:rsid w:val="00A6128E"/>
    <w:rsid w:val="00A62033"/>
    <w:rsid w:val="00A62E3F"/>
    <w:rsid w:val="00A63043"/>
    <w:rsid w:val="00A63BEF"/>
    <w:rsid w:val="00A66272"/>
    <w:rsid w:val="00A66925"/>
    <w:rsid w:val="00A66B32"/>
    <w:rsid w:val="00A66C44"/>
    <w:rsid w:val="00A70D7C"/>
    <w:rsid w:val="00A71D45"/>
    <w:rsid w:val="00A723E8"/>
    <w:rsid w:val="00A72740"/>
    <w:rsid w:val="00A72A67"/>
    <w:rsid w:val="00A7321C"/>
    <w:rsid w:val="00A7343E"/>
    <w:rsid w:val="00A7521E"/>
    <w:rsid w:val="00A7551B"/>
    <w:rsid w:val="00A758C4"/>
    <w:rsid w:val="00A75AB4"/>
    <w:rsid w:val="00A761BF"/>
    <w:rsid w:val="00A764CE"/>
    <w:rsid w:val="00A76A11"/>
    <w:rsid w:val="00A77413"/>
    <w:rsid w:val="00A7784B"/>
    <w:rsid w:val="00A80270"/>
    <w:rsid w:val="00A8030C"/>
    <w:rsid w:val="00A80435"/>
    <w:rsid w:val="00A81C87"/>
    <w:rsid w:val="00A81CD3"/>
    <w:rsid w:val="00A8248C"/>
    <w:rsid w:val="00A82D4D"/>
    <w:rsid w:val="00A84566"/>
    <w:rsid w:val="00A848A8"/>
    <w:rsid w:val="00A85233"/>
    <w:rsid w:val="00A85796"/>
    <w:rsid w:val="00A857BC"/>
    <w:rsid w:val="00A85900"/>
    <w:rsid w:val="00A85BEE"/>
    <w:rsid w:val="00A864E7"/>
    <w:rsid w:val="00A869AB"/>
    <w:rsid w:val="00A87297"/>
    <w:rsid w:val="00A878C7"/>
    <w:rsid w:val="00A904A8"/>
    <w:rsid w:val="00A90571"/>
    <w:rsid w:val="00A909C5"/>
    <w:rsid w:val="00A90A9D"/>
    <w:rsid w:val="00A913B1"/>
    <w:rsid w:val="00A9253A"/>
    <w:rsid w:val="00A935A6"/>
    <w:rsid w:val="00A93E59"/>
    <w:rsid w:val="00A947C4"/>
    <w:rsid w:val="00A9549B"/>
    <w:rsid w:val="00A9597A"/>
    <w:rsid w:val="00A95BFF"/>
    <w:rsid w:val="00A9605B"/>
    <w:rsid w:val="00A96790"/>
    <w:rsid w:val="00A97261"/>
    <w:rsid w:val="00A974A8"/>
    <w:rsid w:val="00A975EA"/>
    <w:rsid w:val="00A97704"/>
    <w:rsid w:val="00AA0D3C"/>
    <w:rsid w:val="00AA0DA1"/>
    <w:rsid w:val="00AA11ED"/>
    <w:rsid w:val="00AA129D"/>
    <w:rsid w:val="00AA13F9"/>
    <w:rsid w:val="00AA15F8"/>
    <w:rsid w:val="00AA19A4"/>
    <w:rsid w:val="00AA2003"/>
    <w:rsid w:val="00AA24E9"/>
    <w:rsid w:val="00AA2A1D"/>
    <w:rsid w:val="00AA4478"/>
    <w:rsid w:val="00AA5201"/>
    <w:rsid w:val="00AA5663"/>
    <w:rsid w:val="00AA58FB"/>
    <w:rsid w:val="00AA5A6E"/>
    <w:rsid w:val="00AA5D8E"/>
    <w:rsid w:val="00AA6A5F"/>
    <w:rsid w:val="00AA732E"/>
    <w:rsid w:val="00AA7A6F"/>
    <w:rsid w:val="00AA7BA8"/>
    <w:rsid w:val="00AA7EE2"/>
    <w:rsid w:val="00AB039E"/>
    <w:rsid w:val="00AB2C9E"/>
    <w:rsid w:val="00AB3300"/>
    <w:rsid w:val="00AB38AB"/>
    <w:rsid w:val="00AB5453"/>
    <w:rsid w:val="00AB5C87"/>
    <w:rsid w:val="00AB67B1"/>
    <w:rsid w:val="00AB6CEE"/>
    <w:rsid w:val="00AB7357"/>
    <w:rsid w:val="00AB7650"/>
    <w:rsid w:val="00AB7D9C"/>
    <w:rsid w:val="00AB7F00"/>
    <w:rsid w:val="00AC1228"/>
    <w:rsid w:val="00AC1B82"/>
    <w:rsid w:val="00AC26D9"/>
    <w:rsid w:val="00AC3374"/>
    <w:rsid w:val="00AC3905"/>
    <w:rsid w:val="00AC3B6F"/>
    <w:rsid w:val="00AC4A26"/>
    <w:rsid w:val="00AC4F8E"/>
    <w:rsid w:val="00AC51FB"/>
    <w:rsid w:val="00AC572D"/>
    <w:rsid w:val="00AC5AF6"/>
    <w:rsid w:val="00AC5B93"/>
    <w:rsid w:val="00AC61D0"/>
    <w:rsid w:val="00AC7E15"/>
    <w:rsid w:val="00AD0147"/>
    <w:rsid w:val="00AD05C9"/>
    <w:rsid w:val="00AD0765"/>
    <w:rsid w:val="00AD0E3A"/>
    <w:rsid w:val="00AD2883"/>
    <w:rsid w:val="00AD29F3"/>
    <w:rsid w:val="00AD5881"/>
    <w:rsid w:val="00AD598E"/>
    <w:rsid w:val="00AD742F"/>
    <w:rsid w:val="00AD7785"/>
    <w:rsid w:val="00AD7A68"/>
    <w:rsid w:val="00AD7D68"/>
    <w:rsid w:val="00AE2145"/>
    <w:rsid w:val="00AE218A"/>
    <w:rsid w:val="00AE331E"/>
    <w:rsid w:val="00AE3779"/>
    <w:rsid w:val="00AE4ECF"/>
    <w:rsid w:val="00AE4F00"/>
    <w:rsid w:val="00AE5187"/>
    <w:rsid w:val="00AE543F"/>
    <w:rsid w:val="00AE5BB3"/>
    <w:rsid w:val="00AE7D49"/>
    <w:rsid w:val="00AF0909"/>
    <w:rsid w:val="00AF09FC"/>
    <w:rsid w:val="00AF1268"/>
    <w:rsid w:val="00AF13EB"/>
    <w:rsid w:val="00AF1C37"/>
    <w:rsid w:val="00AF241D"/>
    <w:rsid w:val="00AF2B73"/>
    <w:rsid w:val="00AF3267"/>
    <w:rsid w:val="00AF399F"/>
    <w:rsid w:val="00AF3B38"/>
    <w:rsid w:val="00AF5753"/>
    <w:rsid w:val="00AF5DD0"/>
    <w:rsid w:val="00AF74AA"/>
    <w:rsid w:val="00B000E1"/>
    <w:rsid w:val="00B002DF"/>
    <w:rsid w:val="00B00373"/>
    <w:rsid w:val="00B0135C"/>
    <w:rsid w:val="00B015B8"/>
    <w:rsid w:val="00B02200"/>
    <w:rsid w:val="00B02305"/>
    <w:rsid w:val="00B02B32"/>
    <w:rsid w:val="00B02FF6"/>
    <w:rsid w:val="00B03125"/>
    <w:rsid w:val="00B033C9"/>
    <w:rsid w:val="00B04E4A"/>
    <w:rsid w:val="00B059FD"/>
    <w:rsid w:val="00B05E48"/>
    <w:rsid w:val="00B07798"/>
    <w:rsid w:val="00B07C82"/>
    <w:rsid w:val="00B1006B"/>
    <w:rsid w:val="00B102DB"/>
    <w:rsid w:val="00B1071F"/>
    <w:rsid w:val="00B11291"/>
    <w:rsid w:val="00B11670"/>
    <w:rsid w:val="00B118CC"/>
    <w:rsid w:val="00B118F8"/>
    <w:rsid w:val="00B11CBF"/>
    <w:rsid w:val="00B11EA7"/>
    <w:rsid w:val="00B12E08"/>
    <w:rsid w:val="00B1308C"/>
    <w:rsid w:val="00B13285"/>
    <w:rsid w:val="00B135FC"/>
    <w:rsid w:val="00B15C90"/>
    <w:rsid w:val="00B16443"/>
    <w:rsid w:val="00B1663B"/>
    <w:rsid w:val="00B16DFF"/>
    <w:rsid w:val="00B16F2A"/>
    <w:rsid w:val="00B174EF"/>
    <w:rsid w:val="00B178E6"/>
    <w:rsid w:val="00B17A2C"/>
    <w:rsid w:val="00B209A4"/>
    <w:rsid w:val="00B211A8"/>
    <w:rsid w:val="00B216AC"/>
    <w:rsid w:val="00B22234"/>
    <w:rsid w:val="00B226C2"/>
    <w:rsid w:val="00B22877"/>
    <w:rsid w:val="00B23F04"/>
    <w:rsid w:val="00B247BC"/>
    <w:rsid w:val="00B25322"/>
    <w:rsid w:val="00B256E6"/>
    <w:rsid w:val="00B25950"/>
    <w:rsid w:val="00B25B67"/>
    <w:rsid w:val="00B26103"/>
    <w:rsid w:val="00B2748D"/>
    <w:rsid w:val="00B279A0"/>
    <w:rsid w:val="00B27CA7"/>
    <w:rsid w:val="00B31063"/>
    <w:rsid w:val="00B3234C"/>
    <w:rsid w:val="00B3238A"/>
    <w:rsid w:val="00B32467"/>
    <w:rsid w:val="00B32BC1"/>
    <w:rsid w:val="00B32D2C"/>
    <w:rsid w:val="00B33384"/>
    <w:rsid w:val="00B33433"/>
    <w:rsid w:val="00B33E46"/>
    <w:rsid w:val="00B33F63"/>
    <w:rsid w:val="00B346A6"/>
    <w:rsid w:val="00B35141"/>
    <w:rsid w:val="00B3771B"/>
    <w:rsid w:val="00B37E67"/>
    <w:rsid w:val="00B40D71"/>
    <w:rsid w:val="00B40DEB"/>
    <w:rsid w:val="00B40F08"/>
    <w:rsid w:val="00B41892"/>
    <w:rsid w:val="00B422AD"/>
    <w:rsid w:val="00B42E43"/>
    <w:rsid w:val="00B43A42"/>
    <w:rsid w:val="00B43C9B"/>
    <w:rsid w:val="00B43D6E"/>
    <w:rsid w:val="00B44340"/>
    <w:rsid w:val="00B44456"/>
    <w:rsid w:val="00B451F7"/>
    <w:rsid w:val="00B4623C"/>
    <w:rsid w:val="00B463F0"/>
    <w:rsid w:val="00B4652E"/>
    <w:rsid w:val="00B47655"/>
    <w:rsid w:val="00B479C8"/>
    <w:rsid w:val="00B47AEA"/>
    <w:rsid w:val="00B50357"/>
    <w:rsid w:val="00B5040E"/>
    <w:rsid w:val="00B50BDF"/>
    <w:rsid w:val="00B514E0"/>
    <w:rsid w:val="00B52AF4"/>
    <w:rsid w:val="00B52F75"/>
    <w:rsid w:val="00B5397B"/>
    <w:rsid w:val="00B53F1A"/>
    <w:rsid w:val="00B5407A"/>
    <w:rsid w:val="00B541FF"/>
    <w:rsid w:val="00B54616"/>
    <w:rsid w:val="00B54DBF"/>
    <w:rsid w:val="00B550CE"/>
    <w:rsid w:val="00B551F7"/>
    <w:rsid w:val="00B557F5"/>
    <w:rsid w:val="00B55C23"/>
    <w:rsid w:val="00B55EE2"/>
    <w:rsid w:val="00B560BD"/>
    <w:rsid w:val="00B56C02"/>
    <w:rsid w:val="00B57A36"/>
    <w:rsid w:val="00B57AE6"/>
    <w:rsid w:val="00B60A48"/>
    <w:rsid w:val="00B60ED1"/>
    <w:rsid w:val="00B60F07"/>
    <w:rsid w:val="00B6111F"/>
    <w:rsid w:val="00B61307"/>
    <w:rsid w:val="00B616BE"/>
    <w:rsid w:val="00B62700"/>
    <w:rsid w:val="00B636E7"/>
    <w:rsid w:val="00B63B9B"/>
    <w:rsid w:val="00B64713"/>
    <w:rsid w:val="00B652B0"/>
    <w:rsid w:val="00B65613"/>
    <w:rsid w:val="00B65635"/>
    <w:rsid w:val="00B66A89"/>
    <w:rsid w:val="00B676E1"/>
    <w:rsid w:val="00B677C5"/>
    <w:rsid w:val="00B67856"/>
    <w:rsid w:val="00B67A7C"/>
    <w:rsid w:val="00B67D87"/>
    <w:rsid w:val="00B71830"/>
    <w:rsid w:val="00B727F6"/>
    <w:rsid w:val="00B73280"/>
    <w:rsid w:val="00B75843"/>
    <w:rsid w:val="00B7681F"/>
    <w:rsid w:val="00B77088"/>
    <w:rsid w:val="00B77F30"/>
    <w:rsid w:val="00B80CAA"/>
    <w:rsid w:val="00B81312"/>
    <w:rsid w:val="00B84424"/>
    <w:rsid w:val="00B8520B"/>
    <w:rsid w:val="00B85500"/>
    <w:rsid w:val="00B9086C"/>
    <w:rsid w:val="00B90B5D"/>
    <w:rsid w:val="00B91381"/>
    <w:rsid w:val="00B91E2B"/>
    <w:rsid w:val="00B92100"/>
    <w:rsid w:val="00B92381"/>
    <w:rsid w:val="00B926CD"/>
    <w:rsid w:val="00B92A47"/>
    <w:rsid w:val="00B93442"/>
    <w:rsid w:val="00B93943"/>
    <w:rsid w:val="00B94337"/>
    <w:rsid w:val="00B9486A"/>
    <w:rsid w:val="00B94BA0"/>
    <w:rsid w:val="00B952B0"/>
    <w:rsid w:val="00B95B11"/>
    <w:rsid w:val="00B960F3"/>
    <w:rsid w:val="00B96388"/>
    <w:rsid w:val="00B96B89"/>
    <w:rsid w:val="00BA01BB"/>
    <w:rsid w:val="00BA035C"/>
    <w:rsid w:val="00BA0370"/>
    <w:rsid w:val="00BA0763"/>
    <w:rsid w:val="00BA0AD9"/>
    <w:rsid w:val="00BA0B59"/>
    <w:rsid w:val="00BA1877"/>
    <w:rsid w:val="00BA343B"/>
    <w:rsid w:val="00BA37DA"/>
    <w:rsid w:val="00BA3AF6"/>
    <w:rsid w:val="00BA4D36"/>
    <w:rsid w:val="00BA4EEA"/>
    <w:rsid w:val="00BA53F0"/>
    <w:rsid w:val="00BA5452"/>
    <w:rsid w:val="00BA5A42"/>
    <w:rsid w:val="00BA5B00"/>
    <w:rsid w:val="00BA5D8E"/>
    <w:rsid w:val="00BA61FF"/>
    <w:rsid w:val="00BA6808"/>
    <w:rsid w:val="00BA6CE2"/>
    <w:rsid w:val="00BA6F4F"/>
    <w:rsid w:val="00BA730F"/>
    <w:rsid w:val="00BB0B57"/>
    <w:rsid w:val="00BB17CE"/>
    <w:rsid w:val="00BB1C8A"/>
    <w:rsid w:val="00BB1CEF"/>
    <w:rsid w:val="00BB1F42"/>
    <w:rsid w:val="00BB27A2"/>
    <w:rsid w:val="00BB2FCB"/>
    <w:rsid w:val="00BB3821"/>
    <w:rsid w:val="00BB3A21"/>
    <w:rsid w:val="00BB408E"/>
    <w:rsid w:val="00BB40B4"/>
    <w:rsid w:val="00BB4400"/>
    <w:rsid w:val="00BB4BD9"/>
    <w:rsid w:val="00BB4C89"/>
    <w:rsid w:val="00BB59BE"/>
    <w:rsid w:val="00BB6BFC"/>
    <w:rsid w:val="00BB73A0"/>
    <w:rsid w:val="00BB748F"/>
    <w:rsid w:val="00BB74C9"/>
    <w:rsid w:val="00BB74E8"/>
    <w:rsid w:val="00BB7C62"/>
    <w:rsid w:val="00BB7FAE"/>
    <w:rsid w:val="00BC014C"/>
    <w:rsid w:val="00BC1304"/>
    <w:rsid w:val="00BC146B"/>
    <w:rsid w:val="00BC1FA0"/>
    <w:rsid w:val="00BC2820"/>
    <w:rsid w:val="00BC2AFB"/>
    <w:rsid w:val="00BC2D00"/>
    <w:rsid w:val="00BC2DAE"/>
    <w:rsid w:val="00BC3C97"/>
    <w:rsid w:val="00BC404E"/>
    <w:rsid w:val="00BC5618"/>
    <w:rsid w:val="00BC6384"/>
    <w:rsid w:val="00BC63A7"/>
    <w:rsid w:val="00BC6886"/>
    <w:rsid w:val="00BC6FEA"/>
    <w:rsid w:val="00BC7224"/>
    <w:rsid w:val="00BC75E6"/>
    <w:rsid w:val="00BD0261"/>
    <w:rsid w:val="00BD07F6"/>
    <w:rsid w:val="00BD20AF"/>
    <w:rsid w:val="00BD3915"/>
    <w:rsid w:val="00BD3B76"/>
    <w:rsid w:val="00BD4205"/>
    <w:rsid w:val="00BD5914"/>
    <w:rsid w:val="00BD5F25"/>
    <w:rsid w:val="00BD6C1F"/>
    <w:rsid w:val="00BD75F2"/>
    <w:rsid w:val="00BE0AC7"/>
    <w:rsid w:val="00BE1ADE"/>
    <w:rsid w:val="00BE20E0"/>
    <w:rsid w:val="00BE22EE"/>
    <w:rsid w:val="00BE2C5C"/>
    <w:rsid w:val="00BE37F9"/>
    <w:rsid w:val="00BE3E6D"/>
    <w:rsid w:val="00BE42AA"/>
    <w:rsid w:val="00BE4E72"/>
    <w:rsid w:val="00BE5F02"/>
    <w:rsid w:val="00BE6C60"/>
    <w:rsid w:val="00BE7BFB"/>
    <w:rsid w:val="00BF07C0"/>
    <w:rsid w:val="00BF082F"/>
    <w:rsid w:val="00BF0CB0"/>
    <w:rsid w:val="00BF11A5"/>
    <w:rsid w:val="00BF2857"/>
    <w:rsid w:val="00BF2A79"/>
    <w:rsid w:val="00BF38B1"/>
    <w:rsid w:val="00BF3DBF"/>
    <w:rsid w:val="00BF3DEF"/>
    <w:rsid w:val="00BF4E07"/>
    <w:rsid w:val="00BF60AB"/>
    <w:rsid w:val="00BF68D0"/>
    <w:rsid w:val="00BF75BE"/>
    <w:rsid w:val="00BF765A"/>
    <w:rsid w:val="00BF7A16"/>
    <w:rsid w:val="00BF7A21"/>
    <w:rsid w:val="00C0000D"/>
    <w:rsid w:val="00C0063C"/>
    <w:rsid w:val="00C00F4F"/>
    <w:rsid w:val="00C012F3"/>
    <w:rsid w:val="00C01DDA"/>
    <w:rsid w:val="00C020D1"/>
    <w:rsid w:val="00C028E2"/>
    <w:rsid w:val="00C03B5B"/>
    <w:rsid w:val="00C0487D"/>
    <w:rsid w:val="00C05AA2"/>
    <w:rsid w:val="00C05FC9"/>
    <w:rsid w:val="00C06AFA"/>
    <w:rsid w:val="00C06B4B"/>
    <w:rsid w:val="00C06CE9"/>
    <w:rsid w:val="00C070EE"/>
    <w:rsid w:val="00C072C3"/>
    <w:rsid w:val="00C07638"/>
    <w:rsid w:val="00C07B26"/>
    <w:rsid w:val="00C07B32"/>
    <w:rsid w:val="00C07D8A"/>
    <w:rsid w:val="00C07E3C"/>
    <w:rsid w:val="00C10634"/>
    <w:rsid w:val="00C10CD0"/>
    <w:rsid w:val="00C10DB6"/>
    <w:rsid w:val="00C10DBD"/>
    <w:rsid w:val="00C10EE1"/>
    <w:rsid w:val="00C1257D"/>
    <w:rsid w:val="00C130E5"/>
    <w:rsid w:val="00C132F3"/>
    <w:rsid w:val="00C13B95"/>
    <w:rsid w:val="00C13C5B"/>
    <w:rsid w:val="00C146C2"/>
    <w:rsid w:val="00C151CD"/>
    <w:rsid w:val="00C15265"/>
    <w:rsid w:val="00C155A1"/>
    <w:rsid w:val="00C15720"/>
    <w:rsid w:val="00C1611E"/>
    <w:rsid w:val="00C16891"/>
    <w:rsid w:val="00C16DBC"/>
    <w:rsid w:val="00C17FB0"/>
    <w:rsid w:val="00C21803"/>
    <w:rsid w:val="00C21C19"/>
    <w:rsid w:val="00C21DF1"/>
    <w:rsid w:val="00C22EDF"/>
    <w:rsid w:val="00C239AA"/>
    <w:rsid w:val="00C239EF"/>
    <w:rsid w:val="00C23C1A"/>
    <w:rsid w:val="00C24A98"/>
    <w:rsid w:val="00C25346"/>
    <w:rsid w:val="00C260A6"/>
    <w:rsid w:val="00C27922"/>
    <w:rsid w:val="00C30431"/>
    <w:rsid w:val="00C3089B"/>
    <w:rsid w:val="00C32057"/>
    <w:rsid w:val="00C32A10"/>
    <w:rsid w:val="00C32AF5"/>
    <w:rsid w:val="00C33006"/>
    <w:rsid w:val="00C33CF7"/>
    <w:rsid w:val="00C34873"/>
    <w:rsid w:val="00C35E9D"/>
    <w:rsid w:val="00C36B69"/>
    <w:rsid w:val="00C40A1C"/>
    <w:rsid w:val="00C40E7F"/>
    <w:rsid w:val="00C4227A"/>
    <w:rsid w:val="00C42791"/>
    <w:rsid w:val="00C42C0D"/>
    <w:rsid w:val="00C43591"/>
    <w:rsid w:val="00C43DD3"/>
    <w:rsid w:val="00C44161"/>
    <w:rsid w:val="00C45001"/>
    <w:rsid w:val="00C4581A"/>
    <w:rsid w:val="00C465A2"/>
    <w:rsid w:val="00C46836"/>
    <w:rsid w:val="00C4702A"/>
    <w:rsid w:val="00C472ED"/>
    <w:rsid w:val="00C47F44"/>
    <w:rsid w:val="00C5055E"/>
    <w:rsid w:val="00C5251A"/>
    <w:rsid w:val="00C52C84"/>
    <w:rsid w:val="00C53F8B"/>
    <w:rsid w:val="00C55945"/>
    <w:rsid w:val="00C55AA6"/>
    <w:rsid w:val="00C56DCA"/>
    <w:rsid w:val="00C56ED5"/>
    <w:rsid w:val="00C60E77"/>
    <w:rsid w:val="00C61088"/>
    <w:rsid w:val="00C619D6"/>
    <w:rsid w:val="00C61F9E"/>
    <w:rsid w:val="00C61FC3"/>
    <w:rsid w:val="00C623D4"/>
    <w:rsid w:val="00C625CA"/>
    <w:rsid w:val="00C626D3"/>
    <w:rsid w:val="00C62B89"/>
    <w:rsid w:val="00C62BA6"/>
    <w:rsid w:val="00C63DFB"/>
    <w:rsid w:val="00C64385"/>
    <w:rsid w:val="00C64389"/>
    <w:rsid w:val="00C644FD"/>
    <w:rsid w:val="00C65251"/>
    <w:rsid w:val="00C65A07"/>
    <w:rsid w:val="00C66332"/>
    <w:rsid w:val="00C676BE"/>
    <w:rsid w:val="00C67804"/>
    <w:rsid w:val="00C70473"/>
    <w:rsid w:val="00C71CF6"/>
    <w:rsid w:val="00C72AE1"/>
    <w:rsid w:val="00C73A44"/>
    <w:rsid w:val="00C73CB5"/>
    <w:rsid w:val="00C7421E"/>
    <w:rsid w:val="00C74513"/>
    <w:rsid w:val="00C74514"/>
    <w:rsid w:val="00C75961"/>
    <w:rsid w:val="00C76738"/>
    <w:rsid w:val="00C76D5F"/>
    <w:rsid w:val="00C7799F"/>
    <w:rsid w:val="00C803DA"/>
    <w:rsid w:val="00C814BE"/>
    <w:rsid w:val="00C82A95"/>
    <w:rsid w:val="00C83316"/>
    <w:rsid w:val="00C834D1"/>
    <w:rsid w:val="00C83BE7"/>
    <w:rsid w:val="00C844D4"/>
    <w:rsid w:val="00C84664"/>
    <w:rsid w:val="00C847CC"/>
    <w:rsid w:val="00C84B7C"/>
    <w:rsid w:val="00C85327"/>
    <w:rsid w:val="00C856D0"/>
    <w:rsid w:val="00C85F45"/>
    <w:rsid w:val="00C861A2"/>
    <w:rsid w:val="00C91069"/>
    <w:rsid w:val="00C919A2"/>
    <w:rsid w:val="00C91D1D"/>
    <w:rsid w:val="00C9222C"/>
    <w:rsid w:val="00C937F6"/>
    <w:rsid w:val="00C94F5A"/>
    <w:rsid w:val="00C97CF9"/>
    <w:rsid w:val="00CA098B"/>
    <w:rsid w:val="00CA0C61"/>
    <w:rsid w:val="00CA0F57"/>
    <w:rsid w:val="00CA1384"/>
    <w:rsid w:val="00CA17A0"/>
    <w:rsid w:val="00CA1F4C"/>
    <w:rsid w:val="00CA1FFE"/>
    <w:rsid w:val="00CA21EE"/>
    <w:rsid w:val="00CA2DDA"/>
    <w:rsid w:val="00CA30CC"/>
    <w:rsid w:val="00CA3D5A"/>
    <w:rsid w:val="00CA65DE"/>
    <w:rsid w:val="00CA6701"/>
    <w:rsid w:val="00CA7AE3"/>
    <w:rsid w:val="00CB05C8"/>
    <w:rsid w:val="00CB0CCA"/>
    <w:rsid w:val="00CB1C21"/>
    <w:rsid w:val="00CB1D61"/>
    <w:rsid w:val="00CB249B"/>
    <w:rsid w:val="00CB2967"/>
    <w:rsid w:val="00CB2E33"/>
    <w:rsid w:val="00CB4F80"/>
    <w:rsid w:val="00CB63C4"/>
    <w:rsid w:val="00CB77FD"/>
    <w:rsid w:val="00CC0906"/>
    <w:rsid w:val="00CC11AF"/>
    <w:rsid w:val="00CC331F"/>
    <w:rsid w:val="00CC5307"/>
    <w:rsid w:val="00CC68B4"/>
    <w:rsid w:val="00CC6D98"/>
    <w:rsid w:val="00CC7684"/>
    <w:rsid w:val="00CD0564"/>
    <w:rsid w:val="00CD0B23"/>
    <w:rsid w:val="00CD0EE6"/>
    <w:rsid w:val="00CD217D"/>
    <w:rsid w:val="00CD2F27"/>
    <w:rsid w:val="00CD34FA"/>
    <w:rsid w:val="00CD45AF"/>
    <w:rsid w:val="00CD45D7"/>
    <w:rsid w:val="00CD45F7"/>
    <w:rsid w:val="00CD5813"/>
    <w:rsid w:val="00CD5BA1"/>
    <w:rsid w:val="00CD7589"/>
    <w:rsid w:val="00CD7F94"/>
    <w:rsid w:val="00CE0393"/>
    <w:rsid w:val="00CE0BAC"/>
    <w:rsid w:val="00CE140F"/>
    <w:rsid w:val="00CE14BD"/>
    <w:rsid w:val="00CE22E2"/>
    <w:rsid w:val="00CE2CA7"/>
    <w:rsid w:val="00CE4DB3"/>
    <w:rsid w:val="00CE5258"/>
    <w:rsid w:val="00CE6056"/>
    <w:rsid w:val="00CE6670"/>
    <w:rsid w:val="00CE6E66"/>
    <w:rsid w:val="00CE6EF9"/>
    <w:rsid w:val="00CE7162"/>
    <w:rsid w:val="00CE763F"/>
    <w:rsid w:val="00CF1F53"/>
    <w:rsid w:val="00CF234F"/>
    <w:rsid w:val="00CF2505"/>
    <w:rsid w:val="00CF3C77"/>
    <w:rsid w:val="00CF43CC"/>
    <w:rsid w:val="00CF4584"/>
    <w:rsid w:val="00CF50C2"/>
    <w:rsid w:val="00CF513A"/>
    <w:rsid w:val="00CF5C20"/>
    <w:rsid w:val="00CF5FE1"/>
    <w:rsid w:val="00CF6A6E"/>
    <w:rsid w:val="00CF718E"/>
    <w:rsid w:val="00D00267"/>
    <w:rsid w:val="00D00608"/>
    <w:rsid w:val="00D011BD"/>
    <w:rsid w:val="00D01266"/>
    <w:rsid w:val="00D019D1"/>
    <w:rsid w:val="00D01BE1"/>
    <w:rsid w:val="00D0405D"/>
    <w:rsid w:val="00D043F9"/>
    <w:rsid w:val="00D044B4"/>
    <w:rsid w:val="00D050B8"/>
    <w:rsid w:val="00D0557D"/>
    <w:rsid w:val="00D05F99"/>
    <w:rsid w:val="00D06DD8"/>
    <w:rsid w:val="00D076BA"/>
    <w:rsid w:val="00D1097A"/>
    <w:rsid w:val="00D10D25"/>
    <w:rsid w:val="00D111F5"/>
    <w:rsid w:val="00D12494"/>
    <w:rsid w:val="00D12D6A"/>
    <w:rsid w:val="00D13291"/>
    <w:rsid w:val="00D139A5"/>
    <w:rsid w:val="00D14486"/>
    <w:rsid w:val="00D16377"/>
    <w:rsid w:val="00D16379"/>
    <w:rsid w:val="00D169E2"/>
    <w:rsid w:val="00D17305"/>
    <w:rsid w:val="00D20376"/>
    <w:rsid w:val="00D20400"/>
    <w:rsid w:val="00D20816"/>
    <w:rsid w:val="00D20A47"/>
    <w:rsid w:val="00D212C9"/>
    <w:rsid w:val="00D21A5A"/>
    <w:rsid w:val="00D21C7E"/>
    <w:rsid w:val="00D229A5"/>
    <w:rsid w:val="00D229D4"/>
    <w:rsid w:val="00D2326E"/>
    <w:rsid w:val="00D23394"/>
    <w:rsid w:val="00D239CC"/>
    <w:rsid w:val="00D24FD3"/>
    <w:rsid w:val="00D276A8"/>
    <w:rsid w:val="00D27E4F"/>
    <w:rsid w:val="00D27E54"/>
    <w:rsid w:val="00D30770"/>
    <w:rsid w:val="00D31C05"/>
    <w:rsid w:val="00D3259A"/>
    <w:rsid w:val="00D32BAA"/>
    <w:rsid w:val="00D33248"/>
    <w:rsid w:val="00D33A7A"/>
    <w:rsid w:val="00D33F04"/>
    <w:rsid w:val="00D34BBA"/>
    <w:rsid w:val="00D354F3"/>
    <w:rsid w:val="00D365BF"/>
    <w:rsid w:val="00D367C9"/>
    <w:rsid w:val="00D3696B"/>
    <w:rsid w:val="00D373B0"/>
    <w:rsid w:val="00D37E86"/>
    <w:rsid w:val="00D406CC"/>
    <w:rsid w:val="00D41B38"/>
    <w:rsid w:val="00D41F21"/>
    <w:rsid w:val="00D43273"/>
    <w:rsid w:val="00D4388D"/>
    <w:rsid w:val="00D44B7C"/>
    <w:rsid w:val="00D4522E"/>
    <w:rsid w:val="00D45370"/>
    <w:rsid w:val="00D45B55"/>
    <w:rsid w:val="00D45E47"/>
    <w:rsid w:val="00D46AC5"/>
    <w:rsid w:val="00D47BB5"/>
    <w:rsid w:val="00D50930"/>
    <w:rsid w:val="00D50D83"/>
    <w:rsid w:val="00D518CE"/>
    <w:rsid w:val="00D52B4C"/>
    <w:rsid w:val="00D53A20"/>
    <w:rsid w:val="00D53A2E"/>
    <w:rsid w:val="00D54649"/>
    <w:rsid w:val="00D546D1"/>
    <w:rsid w:val="00D55035"/>
    <w:rsid w:val="00D55366"/>
    <w:rsid w:val="00D55844"/>
    <w:rsid w:val="00D55BAB"/>
    <w:rsid w:val="00D561BF"/>
    <w:rsid w:val="00D5653F"/>
    <w:rsid w:val="00D575E6"/>
    <w:rsid w:val="00D60857"/>
    <w:rsid w:val="00D60C32"/>
    <w:rsid w:val="00D612DF"/>
    <w:rsid w:val="00D6212F"/>
    <w:rsid w:val="00D6280A"/>
    <w:rsid w:val="00D62D25"/>
    <w:rsid w:val="00D62DE7"/>
    <w:rsid w:val="00D63762"/>
    <w:rsid w:val="00D64069"/>
    <w:rsid w:val="00D642F1"/>
    <w:rsid w:val="00D644E6"/>
    <w:rsid w:val="00D64C56"/>
    <w:rsid w:val="00D65A89"/>
    <w:rsid w:val="00D6603C"/>
    <w:rsid w:val="00D66415"/>
    <w:rsid w:val="00D66485"/>
    <w:rsid w:val="00D66CD4"/>
    <w:rsid w:val="00D701AE"/>
    <w:rsid w:val="00D70483"/>
    <w:rsid w:val="00D7058D"/>
    <w:rsid w:val="00D70932"/>
    <w:rsid w:val="00D70B23"/>
    <w:rsid w:val="00D71E37"/>
    <w:rsid w:val="00D726CA"/>
    <w:rsid w:val="00D72E4D"/>
    <w:rsid w:val="00D7354A"/>
    <w:rsid w:val="00D7461D"/>
    <w:rsid w:val="00D75CA2"/>
    <w:rsid w:val="00D76D44"/>
    <w:rsid w:val="00D77CFF"/>
    <w:rsid w:val="00D80263"/>
    <w:rsid w:val="00D82028"/>
    <w:rsid w:val="00D82CDA"/>
    <w:rsid w:val="00D8383B"/>
    <w:rsid w:val="00D83A2E"/>
    <w:rsid w:val="00D84DA7"/>
    <w:rsid w:val="00D85244"/>
    <w:rsid w:val="00D85881"/>
    <w:rsid w:val="00D863A3"/>
    <w:rsid w:val="00D867E6"/>
    <w:rsid w:val="00D90A3A"/>
    <w:rsid w:val="00D90BEC"/>
    <w:rsid w:val="00D90DB7"/>
    <w:rsid w:val="00D90E74"/>
    <w:rsid w:val="00D91956"/>
    <w:rsid w:val="00D92941"/>
    <w:rsid w:val="00D92A1E"/>
    <w:rsid w:val="00D92CFD"/>
    <w:rsid w:val="00D93311"/>
    <w:rsid w:val="00D9417B"/>
    <w:rsid w:val="00D94AAB"/>
    <w:rsid w:val="00D94AC5"/>
    <w:rsid w:val="00D94BCB"/>
    <w:rsid w:val="00D95228"/>
    <w:rsid w:val="00D969E4"/>
    <w:rsid w:val="00D96B67"/>
    <w:rsid w:val="00D96D92"/>
    <w:rsid w:val="00DA021F"/>
    <w:rsid w:val="00DA02D0"/>
    <w:rsid w:val="00DA0756"/>
    <w:rsid w:val="00DA0B1C"/>
    <w:rsid w:val="00DA0FE7"/>
    <w:rsid w:val="00DA1158"/>
    <w:rsid w:val="00DA2329"/>
    <w:rsid w:val="00DA275E"/>
    <w:rsid w:val="00DA30B7"/>
    <w:rsid w:val="00DA3A7A"/>
    <w:rsid w:val="00DA3ADF"/>
    <w:rsid w:val="00DA3BA0"/>
    <w:rsid w:val="00DA3C04"/>
    <w:rsid w:val="00DA3DAF"/>
    <w:rsid w:val="00DA419F"/>
    <w:rsid w:val="00DA42AC"/>
    <w:rsid w:val="00DA42BE"/>
    <w:rsid w:val="00DA5A43"/>
    <w:rsid w:val="00DA5C02"/>
    <w:rsid w:val="00DA60A4"/>
    <w:rsid w:val="00DA6327"/>
    <w:rsid w:val="00DA653F"/>
    <w:rsid w:val="00DA6580"/>
    <w:rsid w:val="00DA6B67"/>
    <w:rsid w:val="00DA7373"/>
    <w:rsid w:val="00DB069E"/>
    <w:rsid w:val="00DB0C08"/>
    <w:rsid w:val="00DB0F31"/>
    <w:rsid w:val="00DB23FA"/>
    <w:rsid w:val="00DB2F00"/>
    <w:rsid w:val="00DB2F3C"/>
    <w:rsid w:val="00DB367A"/>
    <w:rsid w:val="00DB36BB"/>
    <w:rsid w:val="00DB36D3"/>
    <w:rsid w:val="00DB4086"/>
    <w:rsid w:val="00DB5C98"/>
    <w:rsid w:val="00DB6F7C"/>
    <w:rsid w:val="00DC0F60"/>
    <w:rsid w:val="00DC1899"/>
    <w:rsid w:val="00DC30A5"/>
    <w:rsid w:val="00DC3791"/>
    <w:rsid w:val="00DC41C0"/>
    <w:rsid w:val="00DC45B0"/>
    <w:rsid w:val="00DC651D"/>
    <w:rsid w:val="00DC65B8"/>
    <w:rsid w:val="00DC65BC"/>
    <w:rsid w:val="00DC65F2"/>
    <w:rsid w:val="00DC7717"/>
    <w:rsid w:val="00DC79D0"/>
    <w:rsid w:val="00DC7AEE"/>
    <w:rsid w:val="00DD04F6"/>
    <w:rsid w:val="00DD059A"/>
    <w:rsid w:val="00DD06C5"/>
    <w:rsid w:val="00DD10DD"/>
    <w:rsid w:val="00DD3127"/>
    <w:rsid w:val="00DD5877"/>
    <w:rsid w:val="00DD6752"/>
    <w:rsid w:val="00DD754F"/>
    <w:rsid w:val="00DD7C7C"/>
    <w:rsid w:val="00DE05DB"/>
    <w:rsid w:val="00DE0917"/>
    <w:rsid w:val="00DE1D20"/>
    <w:rsid w:val="00DE253E"/>
    <w:rsid w:val="00DE270C"/>
    <w:rsid w:val="00DE293C"/>
    <w:rsid w:val="00DE2CDB"/>
    <w:rsid w:val="00DE2D66"/>
    <w:rsid w:val="00DE3584"/>
    <w:rsid w:val="00DE3920"/>
    <w:rsid w:val="00DE4C57"/>
    <w:rsid w:val="00DE687A"/>
    <w:rsid w:val="00DE69E2"/>
    <w:rsid w:val="00DE6A35"/>
    <w:rsid w:val="00DE6CA8"/>
    <w:rsid w:val="00DE7380"/>
    <w:rsid w:val="00DE7510"/>
    <w:rsid w:val="00DE7EED"/>
    <w:rsid w:val="00DF0063"/>
    <w:rsid w:val="00DF0FC1"/>
    <w:rsid w:val="00DF107F"/>
    <w:rsid w:val="00DF1252"/>
    <w:rsid w:val="00DF20D4"/>
    <w:rsid w:val="00DF342A"/>
    <w:rsid w:val="00DF39E8"/>
    <w:rsid w:val="00DF3A4F"/>
    <w:rsid w:val="00DF3A75"/>
    <w:rsid w:val="00DF3DCC"/>
    <w:rsid w:val="00DF45A1"/>
    <w:rsid w:val="00DF4EC5"/>
    <w:rsid w:val="00DF54C0"/>
    <w:rsid w:val="00DF558A"/>
    <w:rsid w:val="00DF58A7"/>
    <w:rsid w:val="00DF58C6"/>
    <w:rsid w:val="00DF60BD"/>
    <w:rsid w:val="00DF6708"/>
    <w:rsid w:val="00DF712E"/>
    <w:rsid w:val="00DF7B76"/>
    <w:rsid w:val="00E002DC"/>
    <w:rsid w:val="00E00371"/>
    <w:rsid w:val="00E01A53"/>
    <w:rsid w:val="00E02BA4"/>
    <w:rsid w:val="00E031FE"/>
    <w:rsid w:val="00E03F41"/>
    <w:rsid w:val="00E04140"/>
    <w:rsid w:val="00E0431A"/>
    <w:rsid w:val="00E06A71"/>
    <w:rsid w:val="00E06BF4"/>
    <w:rsid w:val="00E10275"/>
    <w:rsid w:val="00E115C1"/>
    <w:rsid w:val="00E11A3A"/>
    <w:rsid w:val="00E12B60"/>
    <w:rsid w:val="00E13318"/>
    <w:rsid w:val="00E14D76"/>
    <w:rsid w:val="00E14FBA"/>
    <w:rsid w:val="00E15D73"/>
    <w:rsid w:val="00E1755E"/>
    <w:rsid w:val="00E20757"/>
    <w:rsid w:val="00E21048"/>
    <w:rsid w:val="00E21422"/>
    <w:rsid w:val="00E21612"/>
    <w:rsid w:val="00E21F08"/>
    <w:rsid w:val="00E22172"/>
    <w:rsid w:val="00E22240"/>
    <w:rsid w:val="00E23868"/>
    <w:rsid w:val="00E23983"/>
    <w:rsid w:val="00E24EA0"/>
    <w:rsid w:val="00E25129"/>
    <w:rsid w:val="00E25152"/>
    <w:rsid w:val="00E26215"/>
    <w:rsid w:val="00E26CA1"/>
    <w:rsid w:val="00E315F4"/>
    <w:rsid w:val="00E31FEF"/>
    <w:rsid w:val="00E322E4"/>
    <w:rsid w:val="00E325AB"/>
    <w:rsid w:val="00E32B35"/>
    <w:rsid w:val="00E32D46"/>
    <w:rsid w:val="00E337E4"/>
    <w:rsid w:val="00E343AA"/>
    <w:rsid w:val="00E34BB9"/>
    <w:rsid w:val="00E3524B"/>
    <w:rsid w:val="00E36D1F"/>
    <w:rsid w:val="00E37747"/>
    <w:rsid w:val="00E407A1"/>
    <w:rsid w:val="00E4087D"/>
    <w:rsid w:val="00E40D00"/>
    <w:rsid w:val="00E45060"/>
    <w:rsid w:val="00E452AD"/>
    <w:rsid w:val="00E45358"/>
    <w:rsid w:val="00E45393"/>
    <w:rsid w:val="00E45552"/>
    <w:rsid w:val="00E469D1"/>
    <w:rsid w:val="00E47AE8"/>
    <w:rsid w:val="00E50365"/>
    <w:rsid w:val="00E5068F"/>
    <w:rsid w:val="00E50B99"/>
    <w:rsid w:val="00E51B5B"/>
    <w:rsid w:val="00E52B39"/>
    <w:rsid w:val="00E52FF8"/>
    <w:rsid w:val="00E53368"/>
    <w:rsid w:val="00E53E9A"/>
    <w:rsid w:val="00E53FBF"/>
    <w:rsid w:val="00E54998"/>
    <w:rsid w:val="00E54EA0"/>
    <w:rsid w:val="00E55406"/>
    <w:rsid w:val="00E55434"/>
    <w:rsid w:val="00E559EA"/>
    <w:rsid w:val="00E55CA1"/>
    <w:rsid w:val="00E56081"/>
    <w:rsid w:val="00E569A3"/>
    <w:rsid w:val="00E56BEB"/>
    <w:rsid w:val="00E56E59"/>
    <w:rsid w:val="00E61887"/>
    <w:rsid w:val="00E61ED7"/>
    <w:rsid w:val="00E6206D"/>
    <w:rsid w:val="00E62841"/>
    <w:rsid w:val="00E63A04"/>
    <w:rsid w:val="00E64431"/>
    <w:rsid w:val="00E66AEA"/>
    <w:rsid w:val="00E66FB9"/>
    <w:rsid w:val="00E7044D"/>
    <w:rsid w:val="00E747FB"/>
    <w:rsid w:val="00E754A6"/>
    <w:rsid w:val="00E754FA"/>
    <w:rsid w:val="00E777B3"/>
    <w:rsid w:val="00E77847"/>
    <w:rsid w:val="00E8071F"/>
    <w:rsid w:val="00E835A6"/>
    <w:rsid w:val="00E838E3"/>
    <w:rsid w:val="00E850C8"/>
    <w:rsid w:val="00E85372"/>
    <w:rsid w:val="00E8578D"/>
    <w:rsid w:val="00E85D92"/>
    <w:rsid w:val="00E86272"/>
    <w:rsid w:val="00E86429"/>
    <w:rsid w:val="00E86E37"/>
    <w:rsid w:val="00E870CA"/>
    <w:rsid w:val="00E9087D"/>
    <w:rsid w:val="00E90A90"/>
    <w:rsid w:val="00E91FED"/>
    <w:rsid w:val="00E9266B"/>
    <w:rsid w:val="00E9277F"/>
    <w:rsid w:val="00E93595"/>
    <w:rsid w:val="00E9369A"/>
    <w:rsid w:val="00E948EE"/>
    <w:rsid w:val="00E95551"/>
    <w:rsid w:val="00E9689B"/>
    <w:rsid w:val="00E96B65"/>
    <w:rsid w:val="00EA0124"/>
    <w:rsid w:val="00EA08CB"/>
    <w:rsid w:val="00EA19AA"/>
    <w:rsid w:val="00EA25A8"/>
    <w:rsid w:val="00EA3416"/>
    <w:rsid w:val="00EA43F2"/>
    <w:rsid w:val="00EA456C"/>
    <w:rsid w:val="00EA48B3"/>
    <w:rsid w:val="00EA497A"/>
    <w:rsid w:val="00EA5711"/>
    <w:rsid w:val="00EA5E6D"/>
    <w:rsid w:val="00EA5EE9"/>
    <w:rsid w:val="00EA7033"/>
    <w:rsid w:val="00EA7197"/>
    <w:rsid w:val="00EA7F8E"/>
    <w:rsid w:val="00EB140D"/>
    <w:rsid w:val="00EB2340"/>
    <w:rsid w:val="00EB2837"/>
    <w:rsid w:val="00EB3E70"/>
    <w:rsid w:val="00EB4457"/>
    <w:rsid w:val="00EB4548"/>
    <w:rsid w:val="00EB47E0"/>
    <w:rsid w:val="00EB676F"/>
    <w:rsid w:val="00EB79DA"/>
    <w:rsid w:val="00EC037C"/>
    <w:rsid w:val="00EC06B5"/>
    <w:rsid w:val="00EC1623"/>
    <w:rsid w:val="00EC1CB9"/>
    <w:rsid w:val="00EC29A4"/>
    <w:rsid w:val="00EC33D4"/>
    <w:rsid w:val="00EC33DF"/>
    <w:rsid w:val="00EC3FBF"/>
    <w:rsid w:val="00EC4644"/>
    <w:rsid w:val="00EC489A"/>
    <w:rsid w:val="00EC5766"/>
    <w:rsid w:val="00EC5E8E"/>
    <w:rsid w:val="00EC625B"/>
    <w:rsid w:val="00EC67DB"/>
    <w:rsid w:val="00EC7066"/>
    <w:rsid w:val="00EC70E8"/>
    <w:rsid w:val="00EC718E"/>
    <w:rsid w:val="00EC7741"/>
    <w:rsid w:val="00EC7D8D"/>
    <w:rsid w:val="00EC7F0F"/>
    <w:rsid w:val="00ED14F0"/>
    <w:rsid w:val="00ED2166"/>
    <w:rsid w:val="00ED2A49"/>
    <w:rsid w:val="00ED2DAF"/>
    <w:rsid w:val="00ED4B7F"/>
    <w:rsid w:val="00ED4DB9"/>
    <w:rsid w:val="00ED5975"/>
    <w:rsid w:val="00ED65B8"/>
    <w:rsid w:val="00ED70E6"/>
    <w:rsid w:val="00ED72E1"/>
    <w:rsid w:val="00ED7D68"/>
    <w:rsid w:val="00EE0536"/>
    <w:rsid w:val="00EE1BAF"/>
    <w:rsid w:val="00EE2580"/>
    <w:rsid w:val="00EE263C"/>
    <w:rsid w:val="00EE3716"/>
    <w:rsid w:val="00EE43F0"/>
    <w:rsid w:val="00EE4CC9"/>
    <w:rsid w:val="00EE51A5"/>
    <w:rsid w:val="00EE70CE"/>
    <w:rsid w:val="00EE7449"/>
    <w:rsid w:val="00EE758F"/>
    <w:rsid w:val="00EF00ED"/>
    <w:rsid w:val="00EF0530"/>
    <w:rsid w:val="00EF3239"/>
    <w:rsid w:val="00EF35F1"/>
    <w:rsid w:val="00EF36C4"/>
    <w:rsid w:val="00EF3755"/>
    <w:rsid w:val="00EF3848"/>
    <w:rsid w:val="00EF38D5"/>
    <w:rsid w:val="00EF3B17"/>
    <w:rsid w:val="00EF3F3A"/>
    <w:rsid w:val="00EF4671"/>
    <w:rsid w:val="00EF516B"/>
    <w:rsid w:val="00EF5376"/>
    <w:rsid w:val="00EF59A4"/>
    <w:rsid w:val="00EF72EE"/>
    <w:rsid w:val="00EF7444"/>
    <w:rsid w:val="00EF7F47"/>
    <w:rsid w:val="00F005F4"/>
    <w:rsid w:val="00F0066D"/>
    <w:rsid w:val="00F00968"/>
    <w:rsid w:val="00F010EE"/>
    <w:rsid w:val="00F013FF"/>
    <w:rsid w:val="00F01667"/>
    <w:rsid w:val="00F01ECE"/>
    <w:rsid w:val="00F020C3"/>
    <w:rsid w:val="00F0472E"/>
    <w:rsid w:val="00F04CDD"/>
    <w:rsid w:val="00F051E3"/>
    <w:rsid w:val="00F0665E"/>
    <w:rsid w:val="00F07472"/>
    <w:rsid w:val="00F07F28"/>
    <w:rsid w:val="00F10CAC"/>
    <w:rsid w:val="00F10D58"/>
    <w:rsid w:val="00F10DFD"/>
    <w:rsid w:val="00F11A8C"/>
    <w:rsid w:val="00F12856"/>
    <w:rsid w:val="00F12BEC"/>
    <w:rsid w:val="00F12E21"/>
    <w:rsid w:val="00F1398A"/>
    <w:rsid w:val="00F14958"/>
    <w:rsid w:val="00F160F1"/>
    <w:rsid w:val="00F1664E"/>
    <w:rsid w:val="00F16794"/>
    <w:rsid w:val="00F168F9"/>
    <w:rsid w:val="00F16C89"/>
    <w:rsid w:val="00F16F6F"/>
    <w:rsid w:val="00F1717C"/>
    <w:rsid w:val="00F17A26"/>
    <w:rsid w:val="00F17BDF"/>
    <w:rsid w:val="00F209C4"/>
    <w:rsid w:val="00F20DBD"/>
    <w:rsid w:val="00F220CD"/>
    <w:rsid w:val="00F22452"/>
    <w:rsid w:val="00F229AD"/>
    <w:rsid w:val="00F22AC7"/>
    <w:rsid w:val="00F23006"/>
    <w:rsid w:val="00F23021"/>
    <w:rsid w:val="00F2469B"/>
    <w:rsid w:val="00F253EA"/>
    <w:rsid w:val="00F25586"/>
    <w:rsid w:val="00F268C1"/>
    <w:rsid w:val="00F275D5"/>
    <w:rsid w:val="00F27974"/>
    <w:rsid w:val="00F305BF"/>
    <w:rsid w:val="00F31457"/>
    <w:rsid w:val="00F31EAB"/>
    <w:rsid w:val="00F32249"/>
    <w:rsid w:val="00F32E04"/>
    <w:rsid w:val="00F32E9B"/>
    <w:rsid w:val="00F33FEC"/>
    <w:rsid w:val="00F35058"/>
    <w:rsid w:val="00F35CC3"/>
    <w:rsid w:val="00F35EA8"/>
    <w:rsid w:val="00F363C0"/>
    <w:rsid w:val="00F3776D"/>
    <w:rsid w:val="00F4126F"/>
    <w:rsid w:val="00F4145C"/>
    <w:rsid w:val="00F42002"/>
    <w:rsid w:val="00F42902"/>
    <w:rsid w:val="00F43655"/>
    <w:rsid w:val="00F44AAC"/>
    <w:rsid w:val="00F45921"/>
    <w:rsid w:val="00F45C41"/>
    <w:rsid w:val="00F45E63"/>
    <w:rsid w:val="00F463B7"/>
    <w:rsid w:val="00F4779D"/>
    <w:rsid w:val="00F47BB5"/>
    <w:rsid w:val="00F5025C"/>
    <w:rsid w:val="00F50F8F"/>
    <w:rsid w:val="00F51DCB"/>
    <w:rsid w:val="00F51F9F"/>
    <w:rsid w:val="00F5210D"/>
    <w:rsid w:val="00F536D4"/>
    <w:rsid w:val="00F53A19"/>
    <w:rsid w:val="00F53DD7"/>
    <w:rsid w:val="00F54461"/>
    <w:rsid w:val="00F54590"/>
    <w:rsid w:val="00F5476E"/>
    <w:rsid w:val="00F54A98"/>
    <w:rsid w:val="00F54EA8"/>
    <w:rsid w:val="00F553C4"/>
    <w:rsid w:val="00F559EC"/>
    <w:rsid w:val="00F563D8"/>
    <w:rsid w:val="00F56486"/>
    <w:rsid w:val="00F6036B"/>
    <w:rsid w:val="00F607F2"/>
    <w:rsid w:val="00F60A5C"/>
    <w:rsid w:val="00F617A0"/>
    <w:rsid w:val="00F61DB4"/>
    <w:rsid w:val="00F61DDD"/>
    <w:rsid w:val="00F63D84"/>
    <w:rsid w:val="00F645FA"/>
    <w:rsid w:val="00F64ADC"/>
    <w:rsid w:val="00F65F1C"/>
    <w:rsid w:val="00F6684E"/>
    <w:rsid w:val="00F669FE"/>
    <w:rsid w:val="00F67045"/>
    <w:rsid w:val="00F67182"/>
    <w:rsid w:val="00F672A7"/>
    <w:rsid w:val="00F67459"/>
    <w:rsid w:val="00F70237"/>
    <w:rsid w:val="00F71F1D"/>
    <w:rsid w:val="00F71F62"/>
    <w:rsid w:val="00F721EB"/>
    <w:rsid w:val="00F732EC"/>
    <w:rsid w:val="00F739C2"/>
    <w:rsid w:val="00F73AAA"/>
    <w:rsid w:val="00F741DF"/>
    <w:rsid w:val="00F748F4"/>
    <w:rsid w:val="00F751AE"/>
    <w:rsid w:val="00F75B19"/>
    <w:rsid w:val="00F76707"/>
    <w:rsid w:val="00F769A5"/>
    <w:rsid w:val="00F77390"/>
    <w:rsid w:val="00F804AD"/>
    <w:rsid w:val="00F8095A"/>
    <w:rsid w:val="00F815EA"/>
    <w:rsid w:val="00F8192A"/>
    <w:rsid w:val="00F81EF6"/>
    <w:rsid w:val="00F83AD0"/>
    <w:rsid w:val="00F8400A"/>
    <w:rsid w:val="00F846F9"/>
    <w:rsid w:val="00F87158"/>
    <w:rsid w:val="00F87987"/>
    <w:rsid w:val="00F918AC"/>
    <w:rsid w:val="00F9204C"/>
    <w:rsid w:val="00F92FB2"/>
    <w:rsid w:val="00F9584D"/>
    <w:rsid w:val="00F95E8D"/>
    <w:rsid w:val="00F96A33"/>
    <w:rsid w:val="00F96F1F"/>
    <w:rsid w:val="00FA02BF"/>
    <w:rsid w:val="00FA033B"/>
    <w:rsid w:val="00FA0F31"/>
    <w:rsid w:val="00FA13A1"/>
    <w:rsid w:val="00FA15EB"/>
    <w:rsid w:val="00FA16F7"/>
    <w:rsid w:val="00FA1AE8"/>
    <w:rsid w:val="00FA2824"/>
    <w:rsid w:val="00FA30A1"/>
    <w:rsid w:val="00FA3481"/>
    <w:rsid w:val="00FA4533"/>
    <w:rsid w:val="00FA4C02"/>
    <w:rsid w:val="00FA63F2"/>
    <w:rsid w:val="00FA665D"/>
    <w:rsid w:val="00FB0371"/>
    <w:rsid w:val="00FB0DB8"/>
    <w:rsid w:val="00FB0E45"/>
    <w:rsid w:val="00FB2380"/>
    <w:rsid w:val="00FB23AE"/>
    <w:rsid w:val="00FB272D"/>
    <w:rsid w:val="00FB2E29"/>
    <w:rsid w:val="00FB332E"/>
    <w:rsid w:val="00FB36AB"/>
    <w:rsid w:val="00FB4175"/>
    <w:rsid w:val="00FB5158"/>
    <w:rsid w:val="00FB54F9"/>
    <w:rsid w:val="00FB6A8F"/>
    <w:rsid w:val="00FB6B5D"/>
    <w:rsid w:val="00FC06D3"/>
    <w:rsid w:val="00FC1BAB"/>
    <w:rsid w:val="00FC2357"/>
    <w:rsid w:val="00FC27DC"/>
    <w:rsid w:val="00FC2BFB"/>
    <w:rsid w:val="00FC2EE3"/>
    <w:rsid w:val="00FC4B6A"/>
    <w:rsid w:val="00FC4DD5"/>
    <w:rsid w:val="00FC5497"/>
    <w:rsid w:val="00FC65D3"/>
    <w:rsid w:val="00FC71CB"/>
    <w:rsid w:val="00FD08E3"/>
    <w:rsid w:val="00FD140C"/>
    <w:rsid w:val="00FD15B7"/>
    <w:rsid w:val="00FD1646"/>
    <w:rsid w:val="00FD1CAE"/>
    <w:rsid w:val="00FD2806"/>
    <w:rsid w:val="00FD28B8"/>
    <w:rsid w:val="00FD2EBD"/>
    <w:rsid w:val="00FD2F6A"/>
    <w:rsid w:val="00FD36F2"/>
    <w:rsid w:val="00FD419B"/>
    <w:rsid w:val="00FD41A4"/>
    <w:rsid w:val="00FD4B3E"/>
    <w:rsid w:val="00FD575C"/>
    <w:rsid w:val="00FD6365"/>
    <w:rsid w:val="00FD6622"/>
    <w:rsid w:val="00FD68E6"/>
    <w:rsid w:val="00FD6B07"/>
    <w:rsid w:val="00FD7365"/>
    <w:rsid w:val="00FD754A"/>
    <w:rsid w:val="00FE0A50"/>
    <w:rsid w:val="00FE1515"/>
    <w:rsid w:val="00FE1B85"/>
    <w:rsid w:val="00FE22B7"/>
    <w:rsid w:val="00FE3006"/>
    <w:rsid w:val="00FE350D"/>
    <w:rsid w:val="00FE3523"/>
    <w:rsid w:val="00FE3FA9"/>
    <w:rsid w:val="00FE40BE"/>
    <w:rsid w:val="00FE646B"/>
    <w:rsid w:val="00FE6500"/>
    <w:rsid w:val="00FE67DE"/>
    <w:rsid w:val="00FE68C4"/>
    <w:rsid w:val="00FE75ED"/>
    <w:rsid w:val="00FF0138"/>
    <w:rsid w:val="00FF02FB"/>
    <w:rsid w:val="00FF09BB"/>
    <w:rsid w:val="00FF13E9"/>
    <w:rsid w:val="00FF319B"/>
    <w:rsid w:val="00FF33D5"/>
    <w:rsid w:val="00FF3687"/>
    <w:rsid w:val="00FF4087"/>
    <w:rsid w:val="00FF41F7"/>
    <w:rsid w:val="00FF43D7"/>
    <w:rsid w:val="00FF475A"/>
    <w:rsid w:val="00FF4785"/>
    <w:rsid w:val="00FF4C8F"/>
    <w:rsid w:val="00FF4CD4"/>
    <w:rsid w:val="00FF4FB6"/>
    <w:rsid w:val="00FF5C4E"/>
    <w:rsid w:val="00FF6527"/>
    <w:rsid w:val="00FF6552"/>
    <w:rsid w:val="00FF65B5"/>
    <w:rsid w:val="00FF6B76"/>
    <w:rsid w:val="00FF7EEB"/>
    <w:rsid w:val="038D34BD"/>
    <w:rsid w:val="07FE36BA"/>
    <w:rsid w:val="0ABD9264"/>
    <w:rsid w:val="0BE4D3D3"/>
    <w:rsid w:val="0C1555CA"/>
    <w:rsid w:val="0C292CAE"/>
    <w:rsid w:val="0D70C24A"/>
    <w:rsid w:val="0F149B4C"/>
    <w:rsid w:val="10114B90"/>
    <w:rsid w:val="101413DF"/>
    <w:rsid w:val="10A671F5"/>
    <w:rsid w:val="124B7A26"/>
    <w:rsid w:val="12BDE290"/>
    <w:rsid w:val="13C72AF6"/>
    <w:rsid w:val="1425670B"/>
    <w:rsid w:val="1884B4C4"/>
    <w:rsid w:val="195CF66F"/>
    <w:rsid w:val="1FEB6F60"/>
    <w:rsid w:val="200CD8D6"/>
    <w:rsid w:val="2413D66B"/>
    <w:rsid w:val="2451CDE6"/>
    <w:rsid w:val="25078FBD"/>
    <w:rsid w:val="29C120F8"/>
    <w:rsid w:val="2E01AA25"/>
    <w:rsid w:val="2F7BB626"/>
    <w:rsid w:val="33D5EF2B"/>
    <w:rsid w:val="354A7127"/>
    <w:rsid w:val="35B5827D"/>
    <w:rsid w:val="3CBE0ACB"/>
    <w:rsid w:val="3E79BFB3"/>
    <w:rsid w:val="3FBFA643"/>
    <w:rsid w:val="42922F82"/>
    <w:rsid w:val="44DF739D"/>
    <w:rsid w:val="454CD95C"/>
    <w:rsid w:val="4782E717"/>
    <w:rsid w:val="4784F8C4"/>
    <w:rsid w:val="47B91758"/>
    <w:rsid w:val="482A1BB8"/>
    <w:rsid w:val="48EDC467"/>
    <w:rsid w:val="4A1E2E87"/>
    <w:rsid w:val="4AD02A5D"/>
    <w:rsid w:val="4B3BBFE7"/>
    <w:rsid w:val="4B752DAE"/>
    <w:rsid w:val="4FBCC11F"/>
    <w:rsid w:val="51464CF9"/>
    <w:rsid w:val="53890B62"/>
    <w:rsid w:val="55DDF37C"/>
    <w:rsid w:val="568CEA16"/>
    <w:rsid w:val="57C4B732"/>
    <w:rsid w:val="582F9F04"/>
    <w:rsid w:val="5C0B10CB"/>
    <w:rsid w:val="5EBC6A40"/>
    <w:rsid w:val="60BDD65B"/>
    <w:rsid w:val="60D4301A"/>
    <w:rsid w:val="63447202"/>
    <w:rsid w:val="6435AFD3"/>
    <w:rsid w:val="67674895"/>
    <w:rsid w:val="682FA9A9"/>
    <w:rsid w:val="6B64132D"/>
    <w:rsid w:val="6BFC4B3F"/>
    <w:rsid w:val="713199AA"/>
    <w:rsid w:val="72F68939"/>
    <w:rsid w:val="74BE01BC"/>
    <w:rsid w:val="77FEA2B8"/>
    <w:rsid w:val="78EC12FD"/>
    <w:rsid w:val="79B3E9DF"/>
    <w:rsid w:val="7BDE927C"/>
    <w:rsid w:val="7CC2CE53"/>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577615"/>
  <w15:docId w15:val="{DA992D73-5217-4BC1-950C-06E1DFB97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1D26"/>
    <w:rPr>
      <w:sz w:val="24"/>
      <w:szCs w:val="24"/>
    </w:rPr>
  </w:style>
  <w:style w:type="paragraph" w:styleId="Ttulo1">
    <w:name w:val="heading 1"/>
    <w:aliases w:val="Título 1 EPE"/>
    <w:basedOn w:val="Normal"/>
    <w:next w:val="Normal"/>
    <w:link w:val="Ttulo1Char"/>
    <w:qFormat/>
    <w:rsid w:val="00DD754F"/>
    <w:pPr>
      <w:keepNext/>
      <w:keepLines/>
      <w:numPr>
        <w:numId w:val="1"/>
      </w:numPr>
      <w:spacing w:before="240" w:after="240" w:line="360" w:lineRule="auto"/>
      <w:outlineLvl w:val="0"/>
    </w:pPr>
    <w:rPr>
      <w:rFonts w:ascii="Tahoma" w:eastAsiaTheme="majorEastAsia" w:hAnsi="Tahoma" w:cstheme="majorBidi"/>
      <w:b/>
      <w:bCs/>
      <w:sz w:val="28"/>
      <w:szCs w:val="28"/>
    </w:rPr>
  </w:style>
  <w:style w:type="paragraph" w:styleId="Ttulo2">
    <w:name w:val="heading 2"/>
    <w:basedOn w:val="Normal"/>
    <w:next w:val="Normal"/>
    <w:link w:val="Ttulo2Char"/>
    <w:semiHidden/>
    <w:unhideWhenUsed/>
    <w:qFormat/>
    <w:rsid w:val="007C536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semiHidden/>
    <w:unhideWhenUsed/>
    <w:qFormat/>
    <w:rsid w:val="00C146C2"/>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qFormat/>
    <w:rsid w:val="001667BF"/>
    <w:pPr>
      <w:keepNext/>
      <w:autoSpaceDE w:val="0"/>
      <w:autoSpaceDN w:val="0"/>
      <w:ind w:right="-6"/>
      <w:jc w:val="both"/>
      <w:outlineLvl w:val="4"/>
    </w:pPr>
    <w:rPr>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1667BF"/>
    <w:pPr>
      <w:jc w:val="both"/>
    </w:pPr>
    <w:rPr>
      <w:rFonts w:ascii="Tahoma" w:hAnsi="Tahoma" w:cs="Tahoma"/>
      <w:sz w:val="20"/>
      <w:szCs w:val="20"/>
    </w:rPr>
  </w:style>
  <w:style w:type="paragraph" w:styleId="Textodenotaderodap">
    <w:name w:val="footnote text"/>
    <w:basedOn w:val="Normal"/>
    <w:rsid w:val="00AB7357"/>
    <w:rPr>
      <w:sz w:val="20"/>
      <w:szCs w:val="20"/>
    </w:rPr>
  </w:style>
  <w:style w:type="paragraph" w:styleId="Rodap">
    <w:name w:val="footer"/>
    <w:basedOn w:val="Normal"/>
    <w:link w:val="RodapChar"/>
    <w:uiPriority w:val="99"/>
    <w:rsid w:val="00452453"/>
    <w:pPr>
      <w:tabs>
        <w:tab w:val="center" w:pos="4252"/>
        <w:tab w:val="right" w:pos="8504"/>
      </w:tabs>
    </w:pPr>
  </w:style>
  <w:style w:type="character" w:styleId="Nmerodepgina">
    <w:name w:val="page number"/>
    <w:basedOn w:val="Fontepargpadro"/>
    <w:rsid w:val="00452453"/>
  </w:style>
  <w:style w:type="character" w:styleId="Hyperlink">
    <w:name w:val="Hyperlink"/>
    <w:basedOn w:val="Fontepargpadro"/>
    <w:rsid w:val="00C75961"/>
    <w:rPr>
      <w:color w:val="0000FF"/>
      <w:u w:val="single"/>
    </w:rPr>
  </w:style>
  <w:style w:type="character" w:styleId="HiperlinkVisitado">
    <w:name w:val="FollowedHyperlink"/>
    <w:basedOn w:val="Fontepargpadro"/>
    <w:rsid w:val="00475550"/>
    <w:rPr>
      <w:color w:val="800080"/>
      <w:u w:val="single"/>
    </w:rPr>
  </w:style>
  <w:style w:type="paragraph" w:styleId="Cabealho">
    <w:name w:val="header"/>
    <w:aliases w:val="Cabeçalho superior"/>
    <w:basedOn w:val="Normal"/>
    <w:link w:val="CabealhoChar"/>
    <w:rsid w:val="00782BDF"/>
    <w:pPr>
      <w:tabs>
        <w:tab w:val="center" w:pos="4252"/>
        <w:tab w:val="right" w:pos="8504"/>
      </w:tabs>
    </w:pPr>
  </w:style>
  <w:style w:type="table" w:styleId="Tabelacomgrade">
    <w:name w:val="Table Grid"/>
    <w:basedOn w:val="Tabelanormal"/>
    <w:rsid w:val="00782B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rsid w:val="00E10275"/>
    <w:pPr>
      <w:spacing w:after="120"/>
      <w:ind w:left="283"/>
    </w:pPr>
  </w:style>
  <w:style w:type="paragraph" w:styleId="Recuodecorpodetexto3">
    <w:name w:val="Body Text Indent 3"/>
    <w:basedOn w:val="Normal"/>
    <w:rsid w:val="00E10275"/>
    <w:pPr>
      <w:spacing w:after="120"/>
      <w:ind w:left="283"/>
    </w:pPr>
    <w:rPr>
      <w:sz w:val="16"/>
      <w:szCs w:val="16"/>
    </w:rPr>
  </w:style>
  <w:style w:type="paragraph" w:styleId="Recuodecorpodetexto2">
    <w:name w:val="Body Text Indent 2"/>
    <w:basedOn w:val="Normal"/>
    <w:rsid w:val="00E10275"/>
    <w:pPr>
      <w:spacing w:after="120" w:line="480" w:lineRule="auto"/>
      <w:ind w:left="283"/>
    </w:pPr>
  </w:style>
  <w:style w:type="character" w:styleId="Forte">
    <w:name w:val="Strong"/>
    <w:basedOn w:val="Fontepargpadro"/>
    <w:uiPriority w:val="22"/>
    <w:qFormat/>
    <w:rsid w:val="002E4957"/>
    <w:rPr>
      <w:b/>
      <w:bCs/>
    </w:rPr>
  </w:style>
  <w:style w:type="paragraph" w:styleId="Textodebalo">
    <w:name w:val="Balloon Text"/>
    <w:basedOn w:val="Normal"/>
    <w:semiHidden/>
    <w:rsid w:val="00C06CE9"/>
    <w:rPr>
      <w:rFonts w:ascii="Tahoma" w:hAnsi="Tahoma" w:cs="Tahoma"/>
      <w:sz w:val="16"/>
      <w:szCs w:val="16"/>
    </w:rPr>
  </w:style>
  <w:style w:type="character" w:styleId="Refdecomentrio">
    <w:name w:val="annotation reference"/>
    <w:basedOn w:val="Fontepargpadro"/>
    <w:rsid w:val="00116895"/>
    <w:rPr>
      <w:sz w:val="16"/>
      <w:szCs w:val="16"/>
    </w:rPr>
  </w:style>
  <w:style w:type="paragraph" w:styleId="Textodecomentrio">
    <w:name w:val="annotation text"/>
    <w:basedOn w:val="Normal"/>
    <w:link w:val="TextodecomentrioChar"/>
    <w:rsid w:val="00116895"/>
    <w:rPr>
      <w:sz w:val="20"/>
      <w:szCs w:val="20"/>
    </w:rPr>
  </w:style>
  <w:style w:type="paragraph" w:styleId="Assuntodocomentrio">
    <w:name w:val="annotation subject"/>
    <w:basedOn w:val="Textodecomentrio"/>
    <w:next w:val="Textodecomentrio"/>
    <w:semiHidden/>
    <w:rsid w:val="00116895"/>
    <w:rPr>
      <w:b/>
      <w:bCs/>
    </w:rPr>
  </w:style>
  <w:style w:type="paragraph" w:styleId="NormalWeb">
    <w:name w:val="Normal (Web)"/>
    <w:basedOn w:val="Normal"/>
    <w:uiPriority w:val="99"/>
    <w:unhideWhenUsed/>
    <w:rsid w:val="00117943"/>
    <w:pPr>
      <w:spacing w:before="100" w:beforeAutospacing="1" w:after="100" w:afterAutospacing="1"/>
    </w:pPr>
    <w:rPr>
      <w:rFonts w:eastAsia="Calibri"/>
    </w:rPr>
  </w:style>
  <w:style w:type="paragraph" w:styleId="PargrafodaLista">
    <w:name w:val="List Paragraph"/>
    <w:basedOn w:val="Normal"/>
    <w:uiPriority w:val="34"/>
    <w:qFormat/>
    <w:rsid w:val="00117943"/>
    <w:pPr>
      <w:ind w:left="720"/>
    </w:pPr>
    <w:rPr>
      <w:rFonts w:ascii="Calibri" w:eastAsia="Calibri" w:hAnsi="Calibri"/>
      <w:sz w:val="22"/>
      <w:szCs w:val="22"/>
    </w:rPr>
  </w:style>
  <w:style w:type="character" w:customStyle="1" w:styleId="Ttulo1Char">
    <w:name w:val="Título 1 Char"/>
    <w:aliases w:val="Título 1 EPE Char"/>
    <w:basedOn w:val="Fontepargpadro"/>
    <w:link w:val="Ttulo1"/>
    <w:rsid w:val="00DD754F"/>
    <w:rPr>
      <w:rFonts w:ascii="Tahoma" w:eastAsiaTheme="majorEastAsia" w:hAnsi="Tahoma" w:cstheme="majorBidi"/>
      <w:b/>
      <w:bCs/>
      <w:sz w:val="28"/>
      <w:szCs w:val="28"/>
    </w:rPr>
  </w:style>
  <w:style w:type="character" w:styleId="nfase">
    <w:name w:val="Emphasis"/>
    <w:basedOn w:val="Fontepargpadro"/>
    <w:uiPriority w:val="20"/>
    <w:qFormat/>
    <w:rsid w:val="007D498B"/>
    <w:rPr>
      <w:i/>
      <w:iCs/>
    </w:rPr>
  </w:style>
  <w:style w:type="paragraph" w:styleId="Numerada">
    <w:name w:val="List Number"/>
    <w:basedOn w:val="Normal"/>
    <w:rsid w:val="000D0A00"/>
    <w:pPr>
      <w:tabs>
        <w:tab w:val="num" w:pos="1440"/>
      </w:tabs>
      <w:ind w:left="1440" w:hanging="360"/>
    </w:pPr>
  </w:style>
  <w:style w:type="character" w:customStyle="1" w:styleId="A7">
    <w:name w:val="A7"/>
    <w:uiPriority w:val="99"/>
    <w:rsid w:val="003D7FE6"/>
    <w:rPr>
      <w:rFonts w:cs="DTLProkyonST Light"/>
      <w:color w:val="000000"/>
      <w:sz w:val="22"/>
      <w:szCs w:val="22"/>
    </w:rPr>
  </w:style>
  <w:style w:type="character" w:customStyle="1" w:styleId="Ttulo2Char">
    <w:name w:val="Título 2 Char"/>
    <w:basedOn w:val="Fontepargpadro"/>
    <w:link w:val="Ttulo2"/>
    <w:semiHidden/>
    <w:rsid w:val="007C536A"/>
    <w:rPr>
      <w:rFonts w:asciiTheme="majorHAnsi" w:eastAsiaTheme="majorEastAsia" w:hAnsiTheme="majorHAnsi" w:cstheme="majorBidi"/>
      <w:color w:val="365F91" w:themeColor="accent1" w:themeShade="BF"/>
      <w:sz w:val="26"/>
      <w:szCs w:val="26"/>
    </w:rPr>
  </w:style>
  <w:style w:type="paragraph" w:customStyle="1" w:styleId="content-textcontainer">
    <w:name w:val="content-text__container"/>
    <w:basedOn w:val="Normal"/>
    <w:rsid w:val="007C536A"/>
    <w:pPr>
      <w:spacing w:before="100" w:beforeAutospacing="1" w:after="100" w:afterAutospacing="1"/>
    </w:pPr>
  </w:style>
  <w:style w:type="character" w:styleId="Refdenotaderodap">
    <w:name w:val="footnote reference"/>
    <w:basedOn w:val="Fontepargpadro"/>
    <w:semiHidden/>
    <w:unhideWhenUsed/>
    <w:rsid w:val="00F815EA"/>
    <w:rPr>
      <w:vertAlign w:val="superscript"/>
    </w:rPr>
  </w:style>
  <w:style w:type="character" w:customStyle="1" w:styleId="RodapChar">
    <w:name w:val="Rodapé Char"/>
    <w:basedOn w:val="Fontepargpadro"/>
    <w:link w:val="Rodap"/>
    <w:uiPriority w:val="99"/>
    <w:rsid w:val="00236F60"/>
    <w:rPr>
      <w:sz w:val="24"/>
      <w:szCs w:val="24"/>
    </w:rPr>
  </w:style>
  <w:style w:type="character" w:customStyle="1" w:styleId="Ttulo3Char">
    <w:name w:val="Título 3 Char"/>
    <w:basedOn w:val="Fontepargpadro"/>
    <w:link w:val="Ttulo3"/>
    <w:semiHidden/>
    <w:rsid w:val="00C146C2"/>
    <w:rPr>
      <w:rFonts w:asciiTheme="majorHAnsi" w:eastAsiaTheme="majorEastAsia" w:hAnsiTheme="majorHAnsi" w:cstheme="majorBidi"/>
      <w:color w:val="243F60" w:themeColor="accent1" w:themeShade="7F"/>
      <w:sz w:val="24"/>
      <w:szCs w:val="24"/>
    </w:rPr>
  </w:style>
  <w:style w:type="paragraph" w:styleId="Reviso">
    <w:name w:val="Revision"/>
    <w:hidden/>
    <w:uiPriority w:val="99"/>
    <w:semiHidden/>
    <w:rsid w:val="000634AE"/>
    <w:rPr>
      <w:sz w:val="24"/>
      <w:szCs w:val="24"/>
    </w:rPr>
  </w:style>
  <w:style w:type="character" w:customStyle="1" w:styleId="TextodecomentrioChar">
    <w:name w:val="Texto de comentário Char"/>
    <w:basedOn w:val="Fontepargpadro"/>
    <w:link w:val="Textodecomentrio"/>
    <w:rsid w:val="00373078"/>
  </w:style>
  <w:style w:type="paragraph" w:styleId="Legenda">
    <w:name w:val="caption"/>
    <w:basedOn w:val="Normal"/>
    <w:next w:val="Normal"/>
    <w:link w:val="LegendaChar"/>
    <w:uiPriority w:val="35"/>
    <w:unhideWhenUsed/>
    <w:qFormat/>
    <w:rsid w:val="008055D2"/>
    <w:pPr>
      <w:spacing w:after="200"/>
    </w:pPr>
    <w:rPr>
      <w:rFonts w:asciiTheme="minorHAnsi" w:eastAsiaTheme="minorHAnsi" w:hAnsiTheme="minorHAnsi" w:cstheme="minorBidi"/>
      <w:b/>
      <w:bCs/>
      <w:color w:val="4F81BD" w:themeColor="accent1"/>
      <w:sz w:val="18"/>
      <w:szCs w:val="18"/>
      <w:lang w:eastAsia="en-US"/>
    </w:rPr>
  </w:style>
  <w:style w:type="table" w:customStyle="1" w:styleId="TabeladeGrade5Escura-nfase31">
    <w:name w:val="Tabela de Grade 5 Escura - Ênfase 31"/>
    <w:basedOn w:val="Tabelanormal"/>
    <w:uiPriority w:val="50"/>
    <w:rsid w:val="001378A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character" w:customStyle="1" w:styleId="CorpodetextoChar">
    <w:name w:val="Corpo de texto Char"/>
    <w:basedOn w:val="Fontepargpadro"/>
    <w:link w:val="Corpodetexto"/>
    <w:rsid w:val="00E85D92"/>
    <w:rPr>
      <w:rFonts w:ascii="Tahoma" w:hAnsi="Tahoma" w:cs="Tahoma"/>
    </w:rPr>
  </w:style>
  <w:style w:type="table" w:customStyle="1" w:styleId="TabeladeGrade4-nfase51">
    <w:name w:val="Tabela de Grade 4 - Ênfase 51"/>
    <w:basedOn w:val="Tabelanormal"/>
    <w:uiPriority w:val="49"/>
    <w:rsid w:val="00E85D92"/>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Corpodetexto2">
    <w:name w:val="Body Text 2"/>
    <w:basedOn w:val="Normal"/>
    <w:link w:val="Corpodetexto2Char"/>
    <w:unhideWhenUsed/>
    <w:rsid w:val="00591A88"/>
    <w:pPr>
      <w:spacing w:after="120" w:line="480" w:lineRule="auto"/>
    </w:pPr>
  </w:style>
  <w:style w:type="character" w:customStyle="1" w:styleId="Corpodetexto2Char">
    <w:name w:val="Corpo de texto 2 Char"/>
    <w:basedOn w:val="Fontepargpadro"/>
    <w:link w:val="Corpodetexto2"/>
    <w:rsid w:val="00591A88"/>
    <w:rPr>
      <w:sz w:val="24"/>
      <w:szCs w:val="24"/>
    </w:rPr>
  </w:style>
  <w:style w:type="character" w:customStyle="1" w:styleId="CabealhoChar">
    <w:name w:val="Cabeçalho Char"/>
    <w:aliases w:val="Cabeçalho superior Char"/>
    <w:basedOn w:val="Fontepargpadro"/>
    <w:link w:val="Cabealho"/>
    <w:rsid w:val="007104A4"/>
    <w:rPr>
      <w:sz w:val="24"/>
      <w:szCs w:val="24"/>
    </w:rPr>
  </w:style>
  <w:style w:type="character" w:styleId="TextodoEspaoReservado">
    <w:name w:val="Placeholder Text"/>
    <w:basedOn w:val="Fontepargpadro"/>
    <w:uiPriority w:val="99"/>
    <w:semiHidden/>
    <w:rsid w:val="00DB36BB"/>
    <w:rPr>
      <w:color w:val="666666"/>
    </w:rPr>
  </w:style>
  <w:style w:type="character" w:styleId="MenoPendente">
    <w:name w:val="Unresolved Mention"/>
    <w:basedOn w:val="Fontepargpadro"/>
    <w:uiPriority w:val="99"/>
    <w:semiHidden/>
    <w:unhideWhenUsed/>
    <w:rsid w:val="002B7325"/>
    <w:rPr>
      <w:color w:val="605E5C"/>
      <w:shd w:val="clear" w:color="auto" w:fill="E1DFDD"/>
    </w:rPr>
  </w:style>
  <w:style w:type="paragraph" w:customStyle="1" w:styleId="paragraph">
    <w:name w:val="paragraph"/>
    <w:basedOn w:val="Normal"/>
    <w:rsid w:val="00FC65D3"/>
    <w:pPr>
      <w:spacing w:before="100" w:beforeAutospacing="1" w:after="100" w:afterAutospacing="1"/>
    </w:pPr>
  </w:style>
  <w:style w:type="character" w:customStyle="1" w:styleId="normaltextrun">
    <w:name w:val="normaltextrun"/>
    <w:basedOn w:val="Fontepargpadro"/>
    <w:rsid w:val="00FC65D3"/>
  </w:style>
  <w:style w:type="paragraph" w:customStyle="1" w:styleId="Tabela">
    <w:name w:val="Tabela"/>
    <w:basedOn w:val="Legenda"/>
    <w:link w:val="TabelaChar"/>
    <w:qFormat/>
    <w:rsid w:val="007E496C"/>
    <w:pPr>
      <w:keepNext/>
      <w:jc w:val="right"/>
    </w:pPr>
    <w:rPr>
      <w:b w:val="0"/>
      <w:color w:val="000000" w:themeColor="text1"/>
    </w:rPr>
  </w:style>
  <w:style w:type="character" w:customStyle="1" w:styleId="LegendaChar">
    <w:name w:val="Legenda Char"/>
    <w:basedOn w:val="Fontepargpadro"/>
    <w:link w:val="Legenda"/>
    <w:uiPriority w:val="35"/>
    <w:rsid w:val="007E496C"/>
    <w:rPr>
      <w:rFonts w:asciiTheme="minorHAnsi" w:eastAsiaTheme="minorHAnsi" w:hAnsiTheme="minorHAnsi" w:cstheme="minorBidi"/>
      <w:b/>
      <w:bCs/>
      <w:color w:val="4F81BD" w:themeColor="accent1"/>
      <w:sz w:val="18"/>
      <w:szCs w:val="18"/>
      <w:lang w:eastAsia="en-US"/>
    </w:rPr>
  </w:style>
  <w:style w:type="character" w:customStyle="1" w:styleId="TabelaChar">
    <w:name w:val="Tabela Char"/>
    <w:basedOn w:val="LegendaChar"/>
    <w:link w:val="Tabela"/>
    <w:rsid w:val="007E496C"/>
    <w:rPr>
      <w:rFonts w:asciiTheme="minorHAnsi" w:eastAsiaTheme="minorHAnsi" w:hAnsiTheme="minorHAnsi" w:cstheme="minorBidi"/>
      <w:b w:val="0"/>
      <w:bCs/>
      <w:color w:val="000000" w:themeColor="text1"/>
      <w:sz w:val="18"/>
      <w:szCs w:val="18"/>
      <w:lang w:eastAsia="en-US"/>
    </w:rPr>
  </w:style>
  <w:style w:type="paragraph" w:customStyle="1" w:styleId="Estilo11">
    <w:name w:val="Estilo1.1"/>
    <w:basedOn w:val="Normal"/>
    <w:link w:val="Estilo11Char"/>
    <w:qFormat/>
    <w:rsid w:val="00861DBF"/>
  </w:style>
  <w:style w:type="character" w:customStyle="1" w:styleId="Estilo11Char">
    <w:name w:val="Estilo1.1 Char"/>
    <w:basedOn w:val="Fontepargpadro"/>
    <w:link w:val="Estilo11"/>
    <w:rsid w:val="00861DBF"/>
    <w:rPr>
      <w:sz w:val="24"/>
      <w:szCs w:val="24"/>
    </w:rPr>
  </w:style>
  <w:style w:type="paragraph" w:customStyle="1" w:styleId="Estilo1">
    <w:name w:val="Estilo1"/>
    <w:basedOn w:val="Estilo11"/>
    <w:link w:val="Estilo1Char"/>
    <w:qFormat/>
    <w:rsid w:val="00892F67"/>
    <w:rPr>
      <w:rFonts w:ascii="Tahoma" w:hAnsi="Tahoma" w:cs="Tahoma"/>
      <w:b/>
      <w:bCs/>
    </w:rPr>
  </w:style>
  <w:style w:type="character" w:customStyle="1" w:styleId="Estilo1Char">
    <w:name w:val="Estilo1 Char"/>
    <w:basedOn w:val="Estilo11Char"/>
    <w:link w:val="Estilo1"/>
    <w:rsid w:val="00892F67"/>
    <w:rPr>
      <w:rFonts w:ascii="Tahoma" w:hAnsi="Tahoma" w:cs="Tahoma"/>
      <w:b/>
      <w:bCs/>
      <w:sz w:val="24"/>
      <w:szCs w:val="24"/>
    </w:rPr>
  </w:style>
  <w:style w:type="paragraph" w:customStyle="1" w:styleId="11Estilo2">
    <w:name w:val="1.1. Estilo2"/>
    <w:basedOn w:val="Estilo1"/>
    <w:link w:val="11Estilo2Char"/>
    <w:qFormat/>
    <w:rsid w:val="00886F74"/>
  </w:style>
  <w:style w:type="character" w:customStyle="1" w:styleId="11Estilo2Char">
    <w:name w:val="1.1. Estilo2 Char"/>
    <w:basedOn w:val="Estilo1Char"/>
    <w:link w:val="11Estilo2"/>
    <w:rsid w:val="00886F74"/>
    <w:rPr>
      <w:rFonts w:ascii="Tahoma" w:hAnsi="Tahoma" w:cs="Tahoma"/>
      <w:b/>
      <w:bCs/>
      <w:sz w:val="24"/>
      <w:szCs w:val="24"/>
    </w:rPr>
  </w:style>
  <w:style w:type="table" w:styleId="TabeladeGrade4">
    <w:name w:val="Grid Table 4"/>
    <w:basedOn w:val="Tabelanormal"/>
    <w:uiPriority w:val="49"/>
    <w:rsid w:val="00CB05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font-claude-response-body">
    <w:name w:val="font-claude-response-body"/>
    <w:basedOn w:val="Normal"/>
    <w:rsid w:val="0028692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35984">
      <w:bodyDiv w:val="1"/>
      <w:marLeft w:val="0"/>
      <w:marRight w:val="0"/>
      <w:marTop w:val="0"/>
      <w:marBottom w:val="0"/>
      <w:divBdr>
        <w:top w:val="none" w:sz="0" w:space="0" w:color="auto"/>
        <w:left w:val="none" w:sz="0" w:space="0" w:color="auto"/>
        <w:bottom w:val="none" w:sz="0" w:space="0" w:color="auto"/>
        <w:right w:val="none" w:sz="0" w:space="0" w:color="auto"/>
      </w:divBdr>
    </w:div>
    <w:div w:id="89858139">
      <w:bodyDiv w:val="1"/>
      <w:marLeft w:val="0"/>
      <w:marRight w:val="0"/>
      <w:marTop w:val="0"/>
      <w:marBottom w:val="0"/>
      <w:divBdr>
        <w:top w:val="none" w:sz="0" w:space="0" w:color="auto"/>
        <w:left w:val="none" w:sz="0" w:space="0" w:color="auto"/>
        <w:bottom w:val="none" w:sz="0" w:space="0" w:color="auto"/>
        <w:right w:val="none" w:sz="0" w:space="0" w:color="auto"/>
      </w:divBdr>
      <w:divsChild>
        <w:div w:id="1883900655">
          <w:marLeft w:val="0"/>
          <w:marRight w:val="0"/>
          <w:marTop w:val="0"/>
          <w:marBottom w:val="0"/>
          <w:divBdr>
            <w:top w:val="none" w:sz="0" w:space="0" w:color="auto"/>
            <w:left w:val="none" w:sz="0" w:space="0" w:color="auto"/>
            <w:bottom w:val="none" w:sz="0" w:space="0" w:color="auto"/>
            <w:right w:val="none" w:sz="0" w:space="0" w:color="auto"/>
          </w:divBdr>
          <w:divsChild>
            <w:div w:id="382102979">
              <w:marLeft w:val="0"/>
              <w:marRight w:val="0"/>
              <w:marTop w:val="0"/>
              <w:marBottom w:val="0"/>
              <w:divBdr>
                <w:top w:val="none" w:sz="0" w:space="0" w:color="auto"/>
                <w:left w:val="none" w:sz="0" w:space="0" w:color="auto"/>
                <w:bottom w:val="none" w:sz="0" w:space="0" w:color="auto"/>
                <w:right w:val="none" w:sz="0" w:space="0" w:color="auto"/>
              </w:divBdr>
              <w:divsChild>
                <w:div w:id="557980841">
                  <w:marLeft w:val="0"/>
                  <w:marRight w:val="0"/>
                  <w:marTop w:val="0"/>
                  <w:marBottom w:val="315"/>
                  <w:divBdr>
                    <w:top w:val="none" w:sz="0" w:space="0" w:color="auto"/>
                    <w:left w:val="none" w:sz="0" w:space="0" w:color="auto"/>
                    <w:bottom w:val="none" w:sz="0" w:space="0" w:color="auto"/>
                    <w:right w:val="none" w:sz="0" w:space="0" w:color="auto"/>
                  </w:divBdr>
                </w:div>
                <w:div w:id="764425360">
                  <w:marLeft w:val="0"/>
                  <w:marRight w:val="0"/>
                  <w:marTop w:val="0"/>
                  <w:marBottom w:val="315"/>
                  <w:divBdr>
                    <w:top w:val="none" w:sz="0" w:space="0" w:color="auto"/>
                    <w:left w:val="none" w:sz="0" w:space="0" w:color="auto"/>
                    <w:bottom w:val="none" w:sz="0" w:space="0" w:color="auto"/>
                    <w:right w:val="none" w:sz="0" w:space="0" w:color="auto"/>
                  </w:divBdr>
                </w:div>
                <w:div w:id="984161080">
                  <w:marLeft w:val="0"/>
                  <w:marRight w:val="0"/>
                  <w:marTop w:val="0"/>
                  <w:marBottom w:val="315"/>
                  <w:divBdr>
                    <w:top w:val="none" w:sz="0" w:space="0" w:color="auto"/>
                    <w:left w:val="none" w:sz="0" w:space="0" w:color="auto"/>
                    <w:bottom w:val="none" w:sz="0" w:space="0" w:color="auto"/>
                    <w:right w:val="none" w:sz="0" w:space="0" w:color="auto"/>
                  </w:divBdr>
                </w:div>
                <w:div w:id="986319821">
                  <w:marLeft w:val="0"/>
                  <w:marRight w:val="0"/>
                  <w:marTop w:val="0"/>
                  <w:marBottom w:val="315"/>
                  <w:divBdr>
                    <w:top w:val="none" w:sz="0" w:space="0" w:color="auto"/>
                    <w:left w:val="none" w:sz="0" w:space="0" w:color="auto"/>
                    <w:bottom w:val="none" w:sz="0" w:space="0" w:color="auto"/>
                    <w:right w:val="none" w:sz="0" w:space="0" w:color="auto"/>
                  </w:divBdr>
                </w:div>
                <w:div w:id="1347513770">
                  <w:marLeft w:val="0"/>
                  <w:marRight w:val="0"/>
                  <w:marTop w:val="0"/>
                  <w:marBottom w:val="315"/>
                  <w:divBdr>
                    <w:top w:val="none" w:sz="0" w:space="0" w:color="auto"/>
                    <w:left w:val="none" w:sz="0" w:space="0" w:color="auto"/>
                    <w:bottom w:val="none" w:sz="0" w:space="0" w:color="auto"/>
                    <w:right w:val="none" w:sz="0" w:space="0" w:color="auto"/>
                  </w:divBdr>
                  <w:divsChild>
                    <w:div w:id="84136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73528">
      <w:bodyDiv w:val="1"/>
      <w:marLeft w:val="0"/>
      <w:marRight w:val="0"/>
      <w:marTop w:val="0"/>
      <w:marBottom w:val="0"/>
      <w:divBdr>
        <w:top w:val="none" w:sz="0" w:space="0" w:color="auto"/>
        <w:left w:val="none" w:sz="0" w:space="0" w:color="auto"/>
        <w:bottom w:val="none" w:sz="0" w:space="0" w:color="auto"/>
        <w:right w:val="none" w:sz="0" w:space="0" w:color="auto"/>
      </w:divBdr>
    </w:div>
    <w:div w:id="141046756">
      <w:bodyDiv w:val="1"/>
      <w:marLeft w:val="0"/>
      <w:marRight w:val="0"/>
      <w:marTop w:val="0"/>
      <w:marBottom w:val="0"/>
      <w:divBdr>
        <w:top w:val="none" w:sz="0" w:space="0" w:color="auto"/>
        <w:left w:val="none" w:sz="0" w:space="0" w:color="auto"/>
        <w:bottom w:val="none" w:sz="0" w:space="0" w:color="auto"/>
        <w:right w:val="none" w:sz="0" w:space="0" w:color="auto"/>
      </w:divBdr>
    </w:div>
    <w:div w:id="163400145">
      <w:bodyDiv w:val="1"/>
      <w:marLeft w:val="0"/>
      <w:marRight w:val="0"/>
      <w:marTop w:val="0"/>
      <w:marBottom w:val="0"/>
      <w:divBdr>
        <w:top w:val="none" w:sz="0" w:space="0" w:color="auto"/>
        <w:left w:val="none" w:sz="0" w:space="0" w:color="auto"/>
        <w:bottom w:val="none" w:sz="0" w:space="0" w:color="auto"/>
        <w:right w:val="none" w:sz="0" w:space="0" w:color="auto"/>
      </w:divBdr>
    </w:div>
    <w:div w:id="230581982">
      <w:bodyDiv w:val="1"/>
      <w:marLeft w:val="0"/>
      <w:marRight w:val="0"/>
      <w:marTop w:val="0"/>
      <w:marBottom w:val="0"/>
      <w:divBdr>
        <w:top w:val="none" w:sz="0" w:space="0" w:color="auto"/>
        <w:left w:val="none" w:sz="0" w:space="0" w:color="auto"/>
        <w:bottom w:val="none" w:sz="0" w:space="0" w:color="auto"/>
        <w:right w:val="none" w:sz="0" w:space="0" w:color="auto"/>
      </w:divBdr>
      <w:divsChild>
        <w:div w:id="2144689636">
          <w:marLeft w:val="0"/>
          <w:marRight w:val="0"/>
          <w:marTop w:val="0"/>
          <w:marBottom w:val="0"/>
          <w:divBdr>
            <w:top w:val="none" w:sz="0" w:space="0" w:color="auto"/>
            <w:left w:val="none" w:sz="0" w:space="0" w:color="auto"/>
            <w:bottom w:val="none" w:sz="0" w:space="0" w:color="auto"/>
            <w:right w:val="none" w:sz="0" w:space="0" w:color="auto"/>
          </w:divBdr>
          <w:divsChild>
            <w:div w:id="2091461608">
              <w:marLeft w:val="0"/>
              <w:marRight w:val="0"/>
              <w:marTop w:val="0"/>
              <w:marBottom w:val="0"/>
              <w:divBdr>
                <w:top w:val="none" w:sz="0" w:space="0" w:color="auto"/>
                <w:left w:val="none" w:sz="0" w:space="0" w:color="auto"/>
                <w:bottom w:val="none" w:sz="0" w:space="0" w:color="auto"/>
                <w:right w:val="none" w:sz="0" w:space="0" w:color="auto"/>
              </w:divBdr>
              <w:divsChild>
                <w:div w:id="773138151">
                  <w:marLeft w:val="0"/>
                  <w:marRight w:val="0"/>
                  <w:marTop w:val="0"/>
                  <w:marBottom w:val="0"/>
                  <w:divBdr>
                    <w:top w:val="none" w:sz="0" w:space="0" w:color="auto"/>
                    <w:left w:val="none" w:sz="0" w:space="0" w:color="auto"/>
                    <w:bottom w:val="none" w:sz="0" w:space="0" w:color="auto"/>
                    <w:right w:val="none" w:sz="0" w:space="0" w:color="auto"/>
                  </w:divBdr>
                  <w:divsChild>
                    <w:div w:id="1940335627">
                      <w:marLeft w:val="0"/>
                      <w:marRight w:val="0"/>
                      <w:marTop w:val="0"/>
                      <w:marBottom w:val="0"/>
                      <w:divBdr>
                        <w:top w:val="none" w:sz="0" w:space="0" w:color="auto"/>
                        <w:left w:val="none" w:sz="0" w:space="0" w:color="auto"/>
                        <w:bottom w:val="none" w:sz="0" w:space="0" w:color="auto"/>
                        <w:right w:val="none" w:sz="0" w:space="0" w:color="auto"/>
                      </w:divBdr>
                      <w:divsChild>
                        <w:div w:id="2046786241">
                          <w:marLeft w:val="0"/>
                          <w:marRight w:val="0"/>
                          <w:marTop w:val="0"/>
                          <w:marBottom w:val="0"/>
                          <w:divBdr>
                            <w:top w:val="none" w:sz="0" w:space="0" w:color="auto"/>
                            <w:left w:val="none" w:sz="0" w:space="0" w:color="auto"/>
                            <w:bottom w:val="none" w:sz="0" w:space="0" w:color="auto"/>
                            <w:right w:val="none" w:sz="0" w:space="0" w:color="auto"/>
                          </w:divBdr>
                          <w:divsChild>
                            <w:div w:id="1055853679">
                              <w:marLeft w:val="0"/>
                              <w:marRight w:val="0"/>
                              <w:marTop w:val="0"/>
                              <w:marBottom w:val="0"/>
                              <w:divBdr>
                                <w:top w:val="none" w:sz="0" w:space="0" w:color="auto"/>
                                <w:left w:val="none" w:sz="0" w:space="0" w:color="auto"/>
                                <w:bottom w:val="none" w:sz="0" w:space="0" w:color="auto"/>
                                <w:right w:val="none" w:sz="0" w:space="0" w:color="auto"/>
                              </w:divBdr>
                              <w:divsChild>
                                <w:div w:id="517231203">
                                  <w:marLeft w:val="0"/>
                                  <w:marRight w:val="0"/>
                                  <w:marTop w:val="0"/>
                                  <w:marBottom w:val="0"/>
                                  <w:divBdr>
                                    <w:top w:val="none" w:sz="0" w:space="0" w:color="auto"/>
                                    <w:left w:val="none" w:sz="0" w:space="0" w:color="auto"/>
                                    <w:bottom w:val="none" w:sz="0" w:space="0" w:color="auto"/>
                                    <w:right w:val="none" w:sz="0" w:space="0" w:color="auto"/>
                                  </w:divBdr>
                                  <w:divsChild>
                                    <w:div w:id="1599799617">
                                      <w:marLeft w:val="0"/>
                                      <w:marRight w:val="0"/>
                                      <w:marTop w:val="0"/>
                                      <w:marBottom w:val="0"/>
                                      <w:divBdr>
                                        <w:top w:val="none" w:sz="0" w:space="0" w:color="auto"/>
                                        <w:left w:val="none" w:sz="0" w:space="0" w:color="auto"/>
                                        <w:bottom w:val="none" w:sz="0" w:space="0" w:color="auto"/>
                                        <w:right w:val="none" w:sz="0" w:space="0" w:color="auto"/>
                                      </w:divBdr>
                                      <w:divsChild>
                                        <w:div w:id="175342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2395144">
      <w:bodyDiv w:val="1"/>
      <w:marLeft w:val="0"/>
      <w:marRight w:val="0"/>
      <w:marTop w:val="0"/>
      <w:marBottom w:val="0"/>
      <w:divBdr>
        <w:top w:val="none" w:sz="0" w:space="0" w:color="auto"/>
        <w:left w:val="none" w:sz="0" w:space="0" w:color="auto"/>
        <w:bottom w:val="none" w:sz="0" w:space="0" w:color="auto"/>
        <w:right w:val="none" w:sz="0" w:space="0" w:color="auto"/>
      </w:divBdr>
    </w:div>
    <w:div w:id="258758180">
      <w:bodyDiv w:val="1"/>
      <w:marLeft w:val="0"/>
      <w:marRight w:val="0"/>
      <w:marTop w:val="0"/>
      <w:marBottom w:val="0"/>
      <w:divBdr>
        <w:top w:val="none" w:sz="0" w:space="0" w:color="auto"/>
        <w:left w:val="none" w:sz="0" w:space="0" w:color="auto"/>
        <w:bottom w:val="none" w:sz="0" w:space="0" w:color="auto"/>
        <w:right w:val="none" w:sz="0" w:space="0" w:color="auto"/>
      </w:divBdr>
    </w:div>
    <w:div w:id="260722369">
      <w:bodyDiv w:val="1"/>
      <w:marLeft w:val="0"/>
      <w:marRight w:val="0"/>
      <w:marTop w:val="0"/>
      <w:marBottom w:val="0"/>
      <w:divBdr>
        <w:top w:val="none" w:sz="0" w:space="0" w:color="auto"/>
        <w:left w:val="none" w:sz="0" w:space="0" w:color="auto"/>
        <w:bottom w:val="none" w:sz="0" w:space="0" w:color="auto"/>
        <w:right w:val="none" w:sz="0" w:space="0" w:color="auto"/>
      </w:divBdr>
    </w:div>
    <w:div w:id="292905152">
      <w:bodyDiv w:val="1"/>
      <w:marLeft w:val="0"/>
      <w:marRight w:val="0"/>
      <w:marTop w:val="0"/>
      <w:marBottom w:val="0"/>
      <w:divBdr>
        <w:top w:val="none" w:sz="0" w:space="0" w:color="auto"/>
        <w:left w:val="none" w:sz="0" w:space="0" w:color="auto"/>
        <w:bottom w:val="none" w:sz="0" w:space="0" w:color="auto"/>
        <w:right w:val="none" w:sz="0" w:space="0" w:color="auto"/>
      </w:divBdr>
    </w:div>
    <w:div w:id="299650406">
      <w:bodyDiv w:val="1"/>
      <w:marLeft w:val="0"/>
      <w:marRight w:val="0"/>
      <w:marTop w:val="0"/>
      <w:marBottom w:val="0"/>
      <w:divBdr>
        <w:top w:val="none" w:sz="0" w:space="0" w:color="auto"/>
        <w:left w:val="none" w:sz="0" w:space="0" w:color="auto"/>
        <w:bottom w:val="none" w:sz="0" w:space="0" w:color="auto"/>
        <w:right w:val="none" w:sz="0" w:space="0" w:color="auto"/>
      </w:divBdr>
    </w:div>
    <w:div w:id="325323796">
      <w:bodyDiv w:val="1"/>
      <w:marLeft w:val="0"/>
      <w:marRight w:val="0"/>
      <w:marTop w:val="0"/>
      <w:marBottom w:val="0"/>
      <w:divBdr>
        <w:top w:val="none" w:sz="0" w:space="0" w:color="auto"/>
        <w:left w:val="none" w:sz="0" w:space="0" w:color="auto"/>
        <w:bottom w:val="none" w:sz="0" w:space="0" w:color="auto"/>
        <w:right w:val="none" w:sz="0" w:space="0" w:color="auto"/>
      </w:divBdr>
    </w:div>
    <w:div w:id="342322630">
      <w:bodyDiv w:val="1"/>
      <w:marLeft w:val="0"/>
      <w:marRight w:val="0"/>
      <w:marTop w:val="0"/>
      <w:marBottom w:val="0"/>
      <w:divBdr>
        <w:top w:val="none" w:sz="0" w:space="0" w:color="auto"/>
        <w:left w:val="none" w:sz="0" w:space="0" w:color="auto"/>
        <w:bottom w:val="none" w:sz="0" w:space="0" w:color="auto"/>
        <w:right w:val="none" w:sz="0" w:space="0" w:color="auto"/>
      </w:divBdr>
    </w:div>
    <w:div w:id="345904865">
      <w:bodyDiv w:val="1"/>
      <w:marLeft w:val="0"/>
      <w:marRight w:val="0"/>
      <w:marTop w:val="0"/>
      <w:marBottom w:val="0"/>
      <w:divBdr>
        <w:top w:val="none" w:sz="0" w:space="0" w:color="auto"/>
        <w:left w:val="none" w:sz="0" w:space="0" w:color="auto"/>
        <w:bottom w:val="none" w:sz="0" w:space="0" w:color="auto"/>
        <w:right w:val="none" w:sz="0" w:space="0" w:color="auto"/>
      </w:divBdr>
    </w:div>
    <w:div w:id="381751308">
      <w:bodyDiv w:val="1"/>
      <w:marLeft w:val="0"/>
      <w:marRight w:val="0"/>
      <w:marTop w:val="0"/>
      <w:marBottom w:val="0"/>
      <w:divBdr>
        <w:top w:val="none" w:sz="0" w:space="0" w:color="auto"/>
        <w:left w:val="none" w:sz="0" w:space="0" w:color="auto"/>
        <w:bottom w:val="none" w:sz="0" w:space="0" w:color="auto"/>
        <w:right w:val="none" w:sz="0" w:space="0" w:color="auto"/>
      </w:divBdr>
    </w:div>
    <w:div w:id="506362278">
      <w:bodyDiv w:val="1"/>
      <w:marLeft w:val="0"/>
      <w:marRight w:val="0"/>
      <w:marTop w:val="0"/>
      <w:marBottom w:val="0"/>
      <w:divBdr>
        <w:top w:val="none" w:sz="0" w:space="0" w:color="auto"/>
        <w:left w:val="none" w:sz="0" w:space="0" w:color="auto"/>
        <w:bottom w:val="none" w:sz="0" w:space="0" w:color="auto"/>
        <w:right w:val="none" w:sz="0" w:space="0" w:color="auto"/>
      </w:divBdr>
    </w:div>
    <w:div w:id="525825042">
      <w:bodyDiv w:val="1"/>
      <w:marLeft w:val="0"/>
      <w:marRight w:val="0"/>
      <w:marTop w:val="0"/>
      <w:marBottom w:val="0"/>
      <w:divBdr>
        <w:top w:val="none" w:sz="0" w:space="0" w:color="auto"/>
        <w:left w:val="none" w:sz="0" w:space="0" w:color="auto"/>
        <w:bottom w:val="none" w:sz="0" w:space="0" w:color="auto"/>
        <w:right w:val="none" w:sz="0" w:space="0" w:color="auto"/>
      </w:divBdr>
      <w:divsChild>
        <w:div w:id="1341129489">
          <w:marLeft w:val="0"/>
          <w:marRight w:val="0"/>
          <w:marTop w:val="0"/>
          <w:marBottom w:val="0"/>
          <w:divBdr>
            <w:top w:val="none" w:sz="0" w:space="0" w:color="auto"/>
            <w:left w:val="none" w:sz="0" w:space="0" w:color="auto"/>
            <w:bottom w:val="none" w:sz="0" w:space="0" w:color="auto"/>
            <w:right w:val="none" w:sz="0" w:space="0" w:color="auto"/>
          </w:divBdr>
          <w:divsChild>
            <w:div w:id="1637760620">
              <w:marLeft w:val="0"/>
              <w:marRight w:val="0"/>
              <w:marTop w:val="0"/>
              <w:marBottom w:val="0"/>
              <w:divBdr>
                <w:top w:val="none" w:sz="0" w:space="0" w:color="auto"/>
                <w:left w:val="none" w:sz="0" w:space="0" w:color="auto"/>
                <w:bottom w:val="none" w:sz="0" w:space="0" w:color="auto"/>
                <w:right w:val="none" w:sz="0" w:space="0" w:color="auto"/>
              </w:divBdr>
              <w:divsChild>
                <w:div w:id="1834175923">
                  <w:marLeft w:val="0"/>
                  <w:marRight w:val="0"/>
                  <w:marTop w:val="0"/>
                  <w:marBottom w:val="0"/>
                  <w:divBdr>
                    <w:top w:val="none" w:sz="0" w:space="0" w:color="auto"/>
                    <w:left w:val="none" w:sz="0" w:space="0" w:color="auto"/>
                    <w:bottom w:val="none" w:sz="0" w:space="0" w:color="auto"/>
                    <w:right w:val="none" w:sz="0" w:space="0" w:color="auto"/>
                  </w:divBdr>
                  <w:divsChild>
                    <w:div w:id="804204213">
                      <w:marLeft w:val="0"/>
                      <w:marRight w:val="0"/>
                      <w:marTop w:val="300"/>
                      <w:marBottom w:val="375"/>
                      <w:divBdr>
                        <w:top w:val="none" w:sz="0" w:space="0" w:color="auto"/>
                        <w:left w:val="none" w:sz="0" w:space="0" w:color="auto"/>
                        <w:bottom w:val="none" w:sz="0" w:space="0" w:color="auto"/>
                        <w:right w:val="none" w:sz="0" w:space="0" w:color="auto"/>
                      </w:divBdr>
                      <w:divsChild>
                        <w:div w:id="997927997">
                          <w:marLeft w:val="0"/>
                          <w:marRight w:val="0"/>
                          <w:marTop w:val="0"/>
                          <w:marBottom w:val="0"/>
                          <w:divBdr>
                            <w:top w:val="none" w:sz="0" w:space="0" w:color="auto"/>
                            <w:left w:val="none" w:sz="0" w:space="0" w:color="auto"/>
                            <w:bottom w:val="none" w:sz="0" w:space="0" w:color="auto"/>
                            <w:right w:val="none" w:sz="0" w:space="0" w:color="auto"/>
                          </w:divBdr>
                          <w:divsChild>
                            <w:div w:id="446698232">
                              <w:marLeft w:val="0"/>
                              <w:marRight w:val="0"/>
                              <w:marTop w:val="0"/>
                              <w:marBottom w:val="0"/>
                              <w:divBdr>
                                <w:top w:val="none" w:sz="0" w:space="0" w:color="auto"/>
                                <w:left w:val="none" w:sz="0" w:space="0" w:color="auto"/>
                                <w:bottom w:val="none" w:sz="0" w:space="0" w:color="auto"/>
                                <w:right w:val="none" w:sz="0" w:space="0" w:color="auto"/>
                              </w:divBdr>
                              <w:divsChild>
                                <w:div w:id="1677535776">
                                  <w:marLeft w:val="0"/>
                                  <w:marRight w:val="0"/>
                                  <w:marTop w:val="0"/>
                                  <w:marBottom w:val="0"/>
                                  <w:divBdr>
                                    <w:top w:val="none" w:sz="0" w:space="0" w:color="auto"/>
                                    <w:left w:val="none" w:sz="0" w:space="0" w:color="auto"/>
                                    <w:bottom w:val="none" w:sz="0" w:space="0" w:color="auto"/>
                                    <w:right w:val="none" w:sz="0" w:space="0" w:color="auto"/>
                                  </w:divBdr>
                                  <w:divsChild>
                                    <w:div w:id="208379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8953869">
      <w:bodyDiv w:val="1"/>
      <w:marLeft w:val="0"/>
      <w:marRight w:val="0"/>
      <w:marTop w:val="0"/>
      <w:marBottom w:val="0"/>
      <w:divBdr>
        <w:top w:val="none" w:sz="0" w:space="0" w:color="auto"/>
        <w:left w:val="none" w:sz="0" w:space="0" w:color="auto"/>
        <w:bottom w:val="none" w:sz="0" w:space="0" w:color="auto"/>
        <w:right w:val="none" w:sz="0" w:space="0" w:color="auto"/>
      </w:divBdr>
    </w:div>
    <w:div w:id="564951950">
      <w:bodyDiv w:val="1"/>
      <w:marLeft w:val="0"/>
      <w:marRight w:val="0"/>
      <w:marTop w:val="0"/>
      <w:marBottom w:val="0"/>
      <w:divBdr>
        <w:top w:val="none" w:sz="0" w:space="0" w:color="auto"/>
        <w:left w:val="none" w:sz="0" w:space="0" w:color="auto"/>
        <w:bottom w:val="none" w:sz="0" w:space="0" w:color="auto"/>
        <w:right w:val="none" w:sz="0" w:space="0" w:color="auto"/>
      </w:divBdr>
      <w:divsChild>
        <w:div w:id="98186334">
          <w:marLeft w:val="0"/>
          <w:marRight w:val="0"/>
          <w:marTop w:val="0"/>
          <w:marBottom w:val="0"/>
          <w:divBdr>
            <w:top w:val="none" w:sz="0" w:space="0" w:color="auto"/>
            <w:left w:val="none" w:sz="0" w:space="0" w:color="auto"/>
            <w:bottom w:val="none" w:sz="0" w:space="0" w:color="auto"/>
            <w:right w:val="none" w:sz="0" w:space="0" w:color="auto"/>
          </w:divBdr>
          <w:divsChild>
            <w:div w:id="716315610">
              <w:marLeft w:val="0"/>
              <w:marRight w:val="0"/>
              <w:marTop w:val="0"/>
              <w:marBottom w:val="0"/>
              <w:divBdr>
                <w:top w:val="none" w:sz="0" w:space="0" w:color="auto"/>
                <w:left w:val="none" w:sz="0" w:space="0" w:color="auto"/>
                <w:bottom w:val="none" w:sz="0" w:space="0" w:color="auto"/>
                <w:right w:val="none" w:sz="0" w:space="0" w:color="auto"/>
              </w:divBdr>
              <w:divsChild>
                <w:div w:id="1020739449">
                  <w:marLeft w:val="0"/>
                  <w:marRight w:val="0"/>
                  <w:marTop w:val="0"/>
                  <w:marBottom w:val="0"/>
                  <w:divBdr>
                    <w:top w:val="none" w:sz="0" w:space="0" w:color="auto"/>
                    <w:left w:val="none" w:sz="0" w:space="0" w:color="auto"/>
                    <w:bottom w:val="none" w:sz="0" w:space="0" w:color="auto"/>
                    <w:right w:val="none" w:sz="0" w:space="0" w:color="auto"/>
                  </w:divBdr>
                  <w:divsChild>
                    <w:div w:id="1962373039">
                      <w:marLeft w:val="0"/>
                      <w:marRight w:val="0"/>
                      <w:marTop w:val="0"/>
                      <w:marBottom w:val="0"/>
                      <w:divBdr>
                        <w:top w:val="none" w:sz="0" w:space="0" w:color="auto"/>
                        <w:left w:val="none" w:sz="0" w:space="0" w:color="auto"/>
                        <w:bottom w:val="none" w:sz="0" w:space="0" w:color="auto"/>
                        <w:right w:val="none" w:sz="0" w:space="0" w:color="auto"/>
                      </w:divBdr>
                      <w:divsChild>
                        <w:div w:id="214783822">
                          <w:marLeft w:val="0"/>
                          <w:marRight w:val="0"/>
                          <w:marTop w:val="0"/>
                          <w:marBottom w:val="0"/>
                          <w:divBdr>
                            <w:top w:val="none" w:sz="0" w:space="0" w:color="auto"/>
                            <w:left w:val="none" w:sz="0" w:space="0" w:color="auto"/>
                            <w:bottom w:val="none" w:sz="0" w:space="0" w:color="auto"/>
                            <w:right w:val="none" w:sz="0" w:space="0" w:color="auto"/>
                          </w:divBdr>
                          <w:divsChild>
                            <w:div w:id="1926330927">
                              <w:marLeft w:val="0"/>
                              <w:marRight w:val="0"/>
                              <w:marTop w:val="0"/>
                              <w:marBottom w:val="0"/>
                              <w:divBdr>
                                <w:top w:val="none" w:sz="0" w:space="0" w:color="auto"/>
                                <w:left w:val="none" w:sz="0" w:space="0" w:color="auto"/>
                                <w:bottom w:val="none" w:sz="0" w:space="0" w:color="auto"/>
                                <w:right w:val="none" w:sz="0" w:space="0" w:color="auto"/>
                              </w:divBdr>
                              <w:divsChild>
                                <w:div w:id="771827781">
                                  <w:marLeft w:val="0"/>
                                  <w:marRight w:val="0"/>
                                  <w:marTop w:val="0"/>
                                  <w:marBottom w:val="0"/>
                                  <w:divBdr>
                                    <w:top w:val="none" w:sz="0" w:space="0" w:color="auto"/>
                                    <w:left w:val="none" w:sz="0" w:space="0" w:color="auto"/>
                                    <w:bottom w:val="none" w:sz="0" w:space="0" w:color="auto"/>
                                    <w:right w:val="none" w:sz="0" w:space="0" w:color="auto"/>
                                  </w:divBdr>
                                  <w:divsChild>
                                    <w:div w:id="81997658">
                                      <w:marLeft w:val="0"/>
                                      <w:marRight w:val="0"/>
                                      <w:marTop w:val="0"/>
                                      <w:marBottom w:val="0"/>
                                      <w:divBdr>
                                        <w:top w:val="none" w:sz="0" w:space="0" w:color="auto"/>
                                        <w:left w:val="none" w:sz="0" w:space="0" w:color="auto"/>
                                        <w:bottom w:val="none" w:sz="0" w:space="0" w:color="auto"/>
                                        <w:right w:val="none" w:sz="0" w:space="0" w:color="auto"/>
                                      </w:divBdr>
                                      <w:divsChild>
                                        <w:div w:id="1704401438">
                                          <w:marLeft w:val="0"/>
                                          <w:marRight w:val="0"/>
                                          <w:marTop w:val="0"/>
                                          <w:marBottom w:val="0"/>
                                          <w:divBdr>
                                            <w:top w:val="none" w:sz="0" w:space="0" w:color="auto"/>
                                            <w:left w:val="none" w:sz="0" w:space="0" w:color="auto"/>
                                            <w:bottom w:val="none" w:sz="0" w:space="0" w:color="auto"/>
                                            <w:right w:val="none" w:sz="0" w:space="0" w:color="auto"/>
                                          </w:divBdr>
                                          <w:divsChild>
                                            <w:div w:id="259916576">
                                              <w:marLeft w:val="0"/>
                                              <w:marRight w:val="0"/>
                                              <w:marTop w:val="0"/>
                                              <w:marBottom w:val="0"/>
                                              <w:divBdr>
                                                <w:top w:val="none" w:sz="0" w:space="0" w:color="auto"/>
                                                <w:left w:val="none" w:sz="0" w:space="0" w:color="auto"/>
                                                <w:bottom w:val="none" w:sz="0" w:space="0" w:color="auto"/>
                                                <w:right w:val="none" w:sz="0" w:space="0" w:color="auto"/>
                                              </w:divBdr>
                                              <w:divsChild>
                                                <w:div w:id="444883091">
                                                  <w:marLeft w:val="0"/>
                                                  <w:marRight w:val="0"/>
                                                  <w:marTop w:val="0"/>
                                                  <w:marBottom w:val="0"/>
                                                  <w:divBdr>
                                                    <w:top w:val="none" w:sz="0" w:space="0" w:color="auto"/>
                                                    <w:left w:val="none" w:sz="0" w:space="0" w:color="auto"/>
                                                    <w:bottom w:val="none" w:sz="0" w:space="0" w:color="auto"/>
                                                    <w:right w:val="none" w:sz="0" w:space="0" w:color="auto"/>
                                                  </w:divBdr>
                                                  <w:divsChild>
                                                    <w:div w:id="786387114">
                                                      <w:marLeft w:val="0"/>
                                                      <w:marRight w:val="0"/>
                                                      <w:marTop w:val="0"/>
                                                      <w:marBottom w:val="0"/>
                                                      <w:divBdr>
                                                        <w:top w:val="none" w:sz="0" w:space="0" w:color="auto"/>
                                                        <w:left w:val="none" w:sz="0" w:space="0" w:color="auto"/>
                                                        <w:bottom w:val="none" w:sz="0" w:space="0" w:color="auto"/>
                                                        <w:right w:val="none" w:sz="0" w:space="0" w:color="auto"/>
                                                      </w:divBdr>
                                                      <w:divsChild>
                                                        <w:div w:id="2052075401">
                                                          <w:marLeft w:val="0"/>
                                                          <w:marRight w:val="0"/>
                                                          <w:marTop w:val="0"/>
                                                          <w:marBottom w:val="0"/>
                                                          <w:divBdr>
                                                            <w:top w:val="none" w:sz="0" w:space="0" w:color="auto"/>
                                                            <w:left w:val="none" w:sz="0" w:space="0" w:color="auto"/>
                                                            <w:bottom w:val="none" w:sz="0" w:space="0" w:color="auto"/>
                                                            <w:right w:val="none" w:sz="0" w:space="0" w:color="auto"/>
                                                          </w:divBdr>
                                                          <w:divsChild>
                                                            <w:div w:id="118872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5888887">
      <w:bodyDiv w:val="1"/>
      <w:marLeft w:val="0"/>
      <w:marRight w:val="0"/>
      <w:marTop w:val="0"/>
      <w:marBottom w:val="0"/>
      <w:divBdr>
        <w:top w:val="none" w:sz="0" w:space="0" w:color="auto"/>
        <w:left w:val="none" w:sz="0" w:space="0" w:color="auto"/>
        <w:bottom w:val="none" w:sz="0" w:space="0" w:color="auto"/>
        <w:right w:val="none" w:sz="0" w:space="0" w:color="auto"/>
      </w:divBdr>
    </w:div>
    <w:div w:id="659578627">
      <w:bodyDiv w:val="1"/>
      <w:marLeft w:val="0"/>
      <w:marRight w:val="0"/>
      <w:marTop w:val="0"/>
      <w:marBottom w:val="0"/>
      <w:divBdr>
        <w:top w:val="none" w:sz="0" w:space="0" w:color="auto"/>
        <w:left w:val="none" w:sz="0" w:space="0" w:color="auto"/>
        <w:bottom w:val="none" w:sz="0" w:space="0" w:color="auto"/>
        <w:right w:val="none" w:sz="0" w:space="0" w:color="auto"/>
      </w:divBdr>
    </w:div>
    <w:div w:id="723679076">
      <w:bodyDiv w:val="1"/>
      <w:marLeft w:val="0"/>
      <w:marRight w:val="0"/>
      <w:marTop w:val="0"/>
      <w:marBottom w:val="0"/>
      <w:divBdr>
        <w:top w:val="none" w:sz="0" w:space="0" w:color="auto"/>
        <w:left w:val="none" w:sz="0" w:space="0" w:color="auto"/>
        <w:bottom w:val="none" w:sz="0" w:space="0" w:color="auto"/>
        <w:right w:val="none" w:sz="0" w:space="0" w:color="auto"/>
      </w:divBdr>
    </w:div>
    <w:div w:id="745036692">
      <w:bodyDiv w:val="1"/>
      <w:marLeft w:val="0"/>
      <w:marRight w:val="0"/>
      <w:marTop w:val="0"/>
      <w:marBottom w:val="0"/>
      <w:divBdr>
        <w:top w:val="none" w:sz="0" w:space="0" w:color="auto"/>
        <w:left w:val="none" w:sz="0" w:space="0" w:color="auto"/>
        <w:bottom w:val="none" w:sz="0" w:space="0" w:color="auto"/>
        <w:right w:val="none" w:sz="0" w:space="0" w:color="auto"/>
      </w:divBdr>
    </w:div>
    <w:div w:id="839852419">
      <w:bodyDiv w:val="1"/>
      <w:marLeft w:val="0"/>
      <w:marRight w:val="0"/>
      <w:marTop w:val="0"/>
      <w:marBottom w:val="0"/>
      <w:divBdr>
        <w:top w:val="none" w:sz="0" w:space="0" w:color="auto"/>
        <w:left w:val="none" w:sz="0" w:space="0" w:color="auto"/>
        <w:bottom w:val="none" w:sz="0" w:space="0" w:color="auto"/>
        <w:right w:val="none" w:sz="0" w:space="0" w:color="auto"/>
      </w:divBdr>
    </w:div>
    <w:div w:id="843783130">
      <w:bodyDiv w:val="1"/>
      <w:marLeft w:val="0"/>
      <w:marRight w:val="0"/>
      <w:marTop w:val="0"/>
      <w:marBottom w:val="0"/>
      <w:divBdr>
        <w:top w:val="none" w:sz="0" w:space="0" w:color="auto"/>
        <w:left w:val="none" w:sz="0" w:space="0" w:color="auto"/>
        <w:bottom w:val="none" w:sz="0" w:space="0" w:color="auto"/>
        <w:right w:val="none" w:sz="0" w:space="0" w:color="auto"/>
      </w:divBdr>
      <w:divsChild>
        <w:div w:id="65079004">
          <w:marLeft w:val="0"/>
          <w:marRight w:val="0"/>
          <w:marTop w:val="0"/>
          <w:marBottom w:val="0"/>
          <w:divBdr>
            <w:top w:val="none" w:sz="0" w:space="0" w:color="auto"/>
            <w:left w:val="none" w:sz="0" w:space="0" w:color="auto"/>
            <w:bottom w:val="none" w:sz="0" w:space="0" w:color="auto"/>
            <w:right w:val="none" w:sz="0" w:space="0" w:color="auto"/>
          </w:divBdr>
          <w:divsChild>
            <w:div w:id="153211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075541">
      <w:bodyDiv w:val="1"/>
      <w:marLeft w:val="0"/>
      <w:marRight w:val="0"/>
      <w:marTop w:val="0"/>
      <w:marBottom w:val="0"/>
      <w:divBdr>
        <w:top w:val="none" w:sz="0" w:space="0" w:color="auto"/>
        <w:left w:val="none" w:sz="0" w:space="0" w:color="auto"/>
        <w:bottom w:val="none" w:sz="0" w:space="0" w:color="auto"/>
        <w:right w:val="none" w:sz="0" w:space="0" w:color="auto"/>
      </w:divBdr>
    </w:div>
    <w:div w:id="902369013">
      <w:bodyDiv w:val="1"/>
      <w:marLeft w:val="0"/>
      <w:marRight w:val="0"/>
      <w:marTop w:val="0"/>
      <w:marBottom w:val="0"/>
      <w:divBdr>
        <w:top w:val="none" w:sz="0" w:space="0" w:color="auto"/>
        <w:left w:val="none" w:sz="0" w:space="0" w:color="auto"/>
        <w:bottom w:val="none" w:sz="0" w:space="0" w:color="auto"/>
        <w:right w:val="none" w:sz="0" w:space="0" w:color="auto"/>
      </w:divBdr>
    </w:div>
    <w:div w:id="951136060">
      <w:bodyDiv w:val="1"/>
      <w:marLeft w:val="0"/>
      <w:marRight w:val="0"/>
      <w:marTop w:val="0"/>
      <w:marBottom w:val="0"/>
      <w:divBdr>
        <w:top w:val="none" w:sz="0" w:space="0" w:color="auto"/>
        <w:left w:val="none" w:sz="0" w:space="0" w:color="auto"/>
        <w:bottom w:val="none" w:sz="0" w:space="0" w:color="auto"/>
        <w:right w:val="none" w:sz="0" w:space="0" w:color="auto"/>
      </w:divBdr>
      <w:divsChild>
        <w:div w:id="358898452">
          <w:marLeft w:val="0"/>
          <w:marRight w:val="0"/>
          <w:marTop w:val="100"/>
          <w:marBottom w:val="100"/>
          <w:divBdr>
            <w:top w:val="none" w:sz="0" w:space="0" w:color="auto"/>
            <w:left w:val="none" w:sz="0" w:space="0" w:color="auto"/>
            <w:bottom w:val="none" w:sz="0" w:space="0" w:color="auto"/>
            <w:right w:val="none" w:sz="0" w:space="0" w:color="auto"/>
          </w:divBdr>
          <w:divsChild>
            <w:div w:id="251352848">
              <w:marLeft w:val="0"/>
              <w:marRight w:val="0"/>
              <w:marTop w:val="100"/>
              <w:marBottom w:val="100"/>
              <w:divBdr>
                <w:top w:val="single" w:sz="2" w:space="0" w:color="D3DDE4"/>
                <w:left w:val="single" w:sz="12" w:space="0" w:color="D3DDE4"/>
                <w:bottom w:val="single" w:sz="12" w:space="0" w:color="D3DDE4"/>
                <w:right w:val="single" w:sz="12" w:space="0" w:color="D3DDE4"/>
              </w:divBdr>
              <w:divsChild>
                <w:div w:id="56317698">
                  <w:marLeft w:val="0"/>
                  <w:marRight w:val="-14"/>
                  <w:marTop w:val="0"/>
                  <w:marBottom w:val="0"/>
                  <w:divBdr>
                    <w:top w:val="single" w:sz="6" w:space="0" w:color="D3DDE4"/>
                    <w:left w:val="single" w:sz="6" w:space="0" w:color="D3DDE4"/>
                    <w:bottom w:val="single" w:sz="6" w:space="0" w:color="D3DDE4"/>
                    <w:right w:val="single" w:sz="6" w:space="0" w:color="D3DDE4"/>
                  </w:divBdr>
                  <w:divsChild>
                    <w:div w:id="254022631">
                      <w:marLeft w:val="14"/>
                      <w:marRight w:val="0"/>
                      <w:marTop w:val="0"/>
                      <w:marBottom w:val="0"/>
                      <w:divBdr>
                        <w:top w:val="none" w:sz="0" w:space="0" w:color="auto"/>
                        <w:left w:val="none" w:sz="0" w:space="0" w:color="auto"/>
                        <w:bottom w:val="none" w:sz="0" w:space="0" w:color="auto"/>
                        <w:right w:val="none" w:sz="0" w:space="0" w:color="auto"/>
                      </w:divBdr>
                      <w:divsChild>
                        <w:div w:id="745347815">
                          <w:marLeft w:val="0"/>
                          <w:marRight w:val="0"/>
                          <w:marTop w:val="0"/>
                          <w:marBottom w:val="0"/>
                          <w:divBdr>
                            <w:top w:val="none" w:sz="0" w:space="0" w:color="auto"/>
                            <w:left w:val="none" w:sz="0" w:space="0" w:color="auto"/>
                            <w:bottom w:val="none" w:sz="0" w:space="0" w:color="auto"/>
                            <w:right w:val="none" w:sz="0" w:space="0" w:color="auto"/>
                          </w:divBdr>
                          <w:divsChild>
                            <w:div w:id="226915374">
                              <w:marLeft w:val="41"/>
                              <w:marRight w:val="0"/>
                              <w:marTop w:val="0"/>
                              <w:marBottom w:val="0"/>
                              <w:divBdr>
                                <w:top w:val="none" w:sz="0" w:space="0" w:color="auto"/>
                                <w:left w:val="none" w:sz="0" w:space="0" w:color="auto"/>
                                <w:bottom w:val="none" w:sz="0" w:space="0" w:color="auto"/>
                                <w:right w:val="none" w:sz="0" w:space="0" w:color="auto"/>
                              </w:divBdr>
                              <w:divsChild>
                                <w:div w:id="1738167172">
                                  <w:marLeft w:val="0"/>
                                  <w:marRight w:val="0"/>
                                  <w:marTop w:val="0"/>
                                  <w:marBottom w:val="40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526383">
      <w:bodyDiv w:val="1"/>
      <w:marLeft w:val="0"/>
      <w:marRight w:val="0"/>
      <w:marTop w:val="0"/>
      <w:marBottom w:val="0"/>
      <w:divBdr>
        <w:top w:val="none" w:sz="0" w:space="0" w:color="auto"/>
        <w:left w:val="none" w:sz="0" w:space="0" w:color="auto"/>
        <w:bottom w:val="none" w:sz="0" w:space="0" w:color="auto"/>
        <w:right w:val="none" w:sz="0" w:space="0" w:color="auto"/>
      </w:divBdr>
    </w:div>
    <w:div w:id="1022126388">
      <w:bodyDiv w:val="1"/>
      <w:marLeft w:val="0"/>
      <w:marRight w:val="0"/>
      <w:marTop w:val="0"/>
      <w:marBottom w:val="0"/>
      <w:divBdr>
        <w:top w:val="none" w:sz="0" w:space="0" w:color="auto"/>
        <w:left w:val="none" w:sz="0" w:space="0" w:color="auto"/>
        <w:bottom w:val="none" w:sz="0" w:space="0" w:color="auto"/>
        <w:right w:val="none" w:sz="0" w:space="0" w:color="auto"/>
      </w:divBdr>
      <w:divsChild>
        <w:div w:id="1841852195">
          <w:marLeft w:val="0"/>
          <w:marRight w:val="0"/>
          <w:marTop w:val="0"/>
          <w:marBottom w:val="0"/>
          <w:divBdr>
            <w:top w:val="none" w:sz="0" w:space="0" w:color="auto"/>
            <w:left w:val="none" w:sz="0" w:space="0" w:color="auto"/>
            <w:bottom w:val="none" w:sz="0" w:space="0" w:color="auto"/>
            <w:right w:val="none" w:sz="0" w:space="0" w:color="auto"/>
          </w:divBdr>
          <w:divsChild>
            <w:div w:id="916324785">
              <w:marLeft w:val="0"/>
              <w:marRight w:val="0"/>
              <w:marTop w:val="0"/>
              <w:marBottom w:val="0"/>
              <w:divBdr>
                <w:top w:val="none" w:sz="0" w:space="0" w:color="auto"/>
                <w:left w:val="none" w:sz="0" w:space="0" w:color="auto"/>
                <w:bottom w:val="none" w:sz="0" w:space="0" w:color="auto"/>
                <w:right w:val="none" w:sz="0" w:space="0" w:color="auto"/>
              </w:divBdr>
              <w:divsChild>
                <w:div w:id="243295516">
                  <w:marLeft w:val="0"/>
                  <w:marRight w:val="0"/>
                  <w:marTop w:val="0"/>
                  <w:marBottom w:val="0"/>
                  <w:divBdr>
                    <w:top w:val="none" w:sz="0" w:space="0" w:color="auto"/>
                    <w:left w:val="none" w:sz="0" w:space="0" w:color="auto"/>
                    <w:bottom w:val="none" w:sz="0" w:space="0" w:color="auto"/>
                    <w:right w:val="none" w:sz="0" w:space="0" w:color="auto"/>
                  </w:divBdr>
                </w:div>
                <w:div w:id="275406043">
                  <w:marLeft w:val="0"/>
                  <w:marRight w:val="0"/>
                  <w:marTop w:val="0"/>
                  <w:marBottom w:val="0"/>
                  <w:divBdr>
                    <w:top w:val="none" w:sz="0" w:space="0" w:color="auto"/>
                    <w:left w:val="none" w:sz="0" w:space="0" w:color="auto"/>
                    <w:bottom w:val="none" w:sz="0" w:space="0" w:color="auto"/>
                    <w:right w:val="none" w:sz="0" w:space="0" w:color="auto"/>
                  </w:divBdr>
                </w:div>
                <w:div w:id="352655457">
                  <w:marLeft w:val="0"/>
                  <w:marRight w:val="0"/>
                  <w:marTop w:val="0"/>
                  <w:marBottom w:val="0"/>
                  <w:divBdr>
                    <w:top w:val="none" w:sz="0" w:space="0" w:color="auto"/>
                    <w:left w:val="none" w:sz="0" w:space="0" w:color="auto"/>
                    <w:bottom w:val="none" w:sz="0" w:space="0" w:color="auto"/>
                    <w:right w:val="none" w:sz="0" w:space="0" w:color="auto"/>
                  </w:divBdr>
                </w:div>
                <w:div w:id="1318650551">
                  <w:marLeft w:val="0"/>
                  <w:marRight w:val="0"/>
                  <w:marTop w:val="0"/>
                  <w:marBottom w:val="0"/>
                  <w:divBdr>
                    <w:top w:val="none" w:sz="0" w:space="0" w:color="auto"/>
                    <w:left w:val="none" w:sz="0" w:space="0" w:color="auto"/>
                    <w:bottom w:val="none" w:sz="0" w:space="0" w:color="auto"/>
                    <w:right w:val="none" w:sz="0" w:space="0" w:color="auto"/>
                  </w:divBdr>
                </w:div>
                <w:div w:id="1396395387">
                  <w:marLeft w:val="0"/>
                  <w:marRight w:val="0"/>
                  <w:marTop w:val="0"/>
                  <w:marBottom w:val="0"/>
                  <w:divBdr>
                    <w:top w:val="none" w:sz="0" w:space="0" w:color="auto"/>
                    <w:left w:val="none" w:sz="0" w:space="0" w:color="auto"/>
                    <w:bottom w:val="none" w:sz="0" w:space="0" w:color="auto"/>
                    <w:right w:val="none" w:sz="0" w:space="0" w:color="auto"/>
                  </w:divBdr>
                </w:div>
                <w:div w:id="1691687628">
                  <w:marLeft w:val="0"/>
                  <w:marRight w:val="0"/>
                  <w:marTop w:val="0"/>
                  <w:marBottom w:val="0"/>
                  <w:divBdr>
                    <w:top w:val="none" w:sz="0" w:space="0" w:color="auto"/>
                    <w:left w:val="none" w:sz="0" w:space="0" w:color="auto"/>
                    <w:bottom w:val="none" w:sz="0" w:space="0" w:color="auto"/>
                    <w:right w:val="none" w:sz="0" w:space="0" w:color="auto"/>
                  </w:divBdr>
                </w:div>
                <w:div w:id="2068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145602">
      <w:bodyDiv w:val="1"/>
      <w:marLeft w:val="0"/>
      <w:marRight w:val="0"/>
      <w:marTop w:val="0"/>
      <w:marBottom w:val="0"/>
      <w:divBdr>
        <w:top w:val="none" w:sz="0" w:space="0" w:color="auto"/>
        <w:left w:val="none" w:sz="0" w:space="0" w:color="auto"/>
        <w:bottom w:val="none" w:sz="0" w:space="0" w:color="auto"/>
        <w:right w:val="none" w:sz="0" w:space="0" w:color="auto"/>
      </w:divBdr>
    </w:div>
    <w:div w:id="1187209273">
      <w:bodyDiv w:val="1"/>
      <w:marLeft w:val="0"/>
      <w:marRight w:val="0"/>
      <w:marTop w:val="0"/>
      <w:marBottom w:val="0"/>
      <w:divBdr>
        <w:top w:val="none" w:sz="0" w:space="0" w:color="auto"/>
        <w:left w:val="none" w:sz="0" w:space="0" w:color="auto"/>
        <w:bottom w:val="none" w:sz="0" w:space="0" w:color="auto"/>
        <w:right w:val="none" w:sz="0" w:space="0" w:color="auto"/>
      </w:divBdr>
    </w:div>
    <w:div w:id="1190795662">
      <w:bodyDiv w:val="1"/>
      <w:marLeft w:val="0"/>
      <w:marRight w:val="0"/>
      <w:marTop w:val="0"/>
      <w:marBottom w:val="0"/>
      <w:divBdr>
        <w:top w:val="none" w:sz="0" w:space="0" w:color="auto"/>
        <w:left w:val="none" w:sz="0" w:space="0" w:color="auto"/>
        <w:bottom w:val="none" w:sz="0" w:space="0" w:color="auto"/>
        <w:right w:val="none" w:sz="0" w:space="0" w:color="auto"/>
      </w:divBdr>
    </w:div>
    <w:div w:id="1199926879">
      <w:bodyDiv w:val="1"/>
      <w:marLeft w:val="0"/>
      <w:marRight w:val="0"/>
      <w:marTop w:val="0"/>
      <w:marBottom w:val="0"/>
      <w:divBdr>
        <w:top w:val="none" w:sz="0" w:space="0" w:color="auto"/>
        <w:left w:val="none" w:sz="0" w:space="0" w:color="auto"/>
        <w:bottom w:val="none" w:sz="0" w:space="0" w:color="auto"/>
        <w:right w:val="none" w:sz="0" w:space="0" w:color="auto"/>
      </w:divBdr>
      <w:divsChild>
        <w:div w:id="1102645173">
          <w:marLeft w:val="0"/>
          <w:marRight w:val="0"/>
          <w:marTop w:val="0"/>
          <w:marBottom w:val="0"/>
          <w:divBdr>
            <w:top w:val="none" w:sz="0" w:space="0" w:color="auto"/>
            <w:left w:val="none" w:sz="0" w:space="0" w:color="auto"/>
            <w:bottom w:val="none" w:sz="0" w:space="0" w:color="auto"/>
            <w:right w:val="none" w:sz="0" w:space="0" w:color="auto"/>
          </w:divBdr>
          <w:divsChild>
            <w:div w:id="10884159">
              <w:marLeft w:val="0"/>
              <w:marRight w:val="0"/>
              <w:marTop w:val="0"/>
              <w:marBottom w:val="0"/>
              <w:divBdr>
                <w:top w:val="none" w:sz="0" w:space="0" w:color="auto"/>
                <w:left w:val="none" w:sz="0" w:space="0" w:color="auto"/>
                <w:bottom w:val="none" w:sz="0" w:space="0" w:color="auto"/>
                <w:right w:val="none" w:sz="0" w:space="0" w:color="auto"/>
              </w:divBdr>
              <w:divsChild>
                <w:div w:id="1569850588">
                  <w:marLeft w:val="0"/>
                  <w:marRight w:val="0"/>
                  <w:marTop w:val="0"/>
                  <w:marBottom w:val="0"/>
                  <w:divBdr>
                    <w:top w:val="none" w:sz="0" w:space="0" w:color="auto"/>
                    <w:left w:val="none" w:sz="0" w:space="0" w:color="auto"/>
                    <w:bottom w:val="none" w:sz="0" w:space="0" w:color="auto"/>
                    <w:right w:val="none" w:sz="0" w:space="0" w:color="auto"/>
                  </w:divBdr>
                  <w:divsChild>
                    <w:div w:id="1959602401">
                      <w:marLeft w:val="0"/>
                      <w:marRight w:val="0"/>
                      <w:marTop w:val="0"/>
                      <w:marBottom w:val="0"/>
                      <w:divBdr>
                        <w:top w:val="none" w:sz="0" w:space="0" w:color="auto"/>
                        <w:left w:val="none" w:sz="0" w:space="0" w:color="auto"/>
                        <w:bottom w:val="none" w:sz="0" w:space="0" w:color="auto"/>
                        <w:right w:val="none" w:sz="0" w:space="0" w:color="auto"/>
                      </w:divBdr>
                      <w:divsChild>
                        <w:div w:id="2132626637">
                          <w:marLeft w:val="0"/>
                          <w:marRight w:val="0"/>
                          <w:marTop w:val="0"/>
                          <w:marBottom w:val="0"/>
                          <w:divBdr>
                            <w:top w:val="none" w:sz="0" w:space="0" w:color="auto"/>
                            <w:left w:val="none" w:sz="0" w:space="0" w:color="auto"/>
                            <w:bottom w:val="none" w:sz="0" w:space="0" w:color="auto"/>
                            <w:right w:val="none" w:sz="0" w:space="0" w:color="auto"/>
                          </w:divBdr>
                          <w:divsChild>
                            <w:div w:id="431586840">
                              <w:marLeft w:val="0"/>
                              <w:marRight w:val="0"/>
                              <w:marTop w:val="0"/>
                              <w:marBottom w:val="0"/>
                              <w:divBdr>
                                <w:top w:val="none" w:sz="0" w:space="0" w:color="auto"/>
                                <w:left w:val="none" w:sz="0" w:space="0" w:color="auto"/>
                                <w:bottom w:val="none" w:sz="0" w:space="0" w:color="auto"/>
                                <w:right w:val="none" w:sz="0" w:space="0" w:color="auto"/>
                              </w:divBdr>
                              <w:divsChild>
                                <w:div w:id="310671466">
                                  <w:marLeft w:val="0"/>
                                  <w:marRight w:val="0"/>
                                  <w:marTop w:val="0"/>
                                  <w:marBottom w:val="0"/>
                                  <w:divBdr>
                                    <w:top w:val="none" w:sz="0" w:space="0" w:color="auto"/>
                                    <w:left w:val="none" w:sz="0" w:space="0" w:color="auto"/>
                                    <w:bottom w:val="none" w:sz="0" w:space="0" w:color="auto"/>
                                    <w:right w:val="none" w:sz="0" w:space="0" w:color="auto"/>
                                  </w:divBdr>
                                  <w:divsChild>
                                    <w:div w:id="327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3760022">
      <w:bodyDiv w:val="1"/>
      <w:marLeft w:val="0"/>
      <w:marRight w:val="0"/>
      <w:marTop w:val="0"/>
      <w:marBottom w:val="0"/>
      <w:divBdr>
        <w:top w:val="none" w:sz="0" w:space="0" w:color="auto"/>
        <w:left w:val="none" w:sz="0" w:space="0" w:color="auto"/>
        <w:bottom w:val="none" w:sz="0" w:space="0" w:color="auto"/>
        <w:right w:val="none" w:sz="0" w:space="0" w:color="auto"/>
      </w:divBdr>
      <w:divsChild>
        <w:div w:id="333193931">
          <w:marLeft w:val="0"/>
          <w:marRight w:val="0"/>
          <w:marTop w:val="0"/>
          <w:marBottom w:val="0"/>
          <w:divBdr>
            <w:top w:val="none" w:sz="0" w:space="0" w:color="auto"/>
            <w:left w:val="none" w:sz="0" w:space="0" w:color="auto"/>
            <w:bottom w:val="none" w:sz="0" w:space="0" w:color="auto"/>
            <w:right w:val="none" w:sz="0" w:space="0" w:color="auto"/>
          </w:divBdr>
          <w:divsChild>
            <w:div w:id="2041319509">
              <w:marLeft w:val="-150"/>
              <w:marRight w:val="-150"/>
              <w:marTop w:val="0"/>
              <w:marBottom w:val="0"/>
              <w:divBdr>
                <w:top w:val="none" w:sz="0" w:space="0" w:color="auto"/>
                <w:left w:val="none" w:sz="0" w:space="0" w:color="auto"/>
                <w:bottom w:val="none" w:sz="0" w:space="0" w:color="auto"/>
                <w:right w:val="none" w:sz="0" w:space="0" w:color="auto"/>
              </w:divBdr>
              <w:divsChild>
                <w:div w:id="259875496">
                  <w:marLeft w:val="0"/>
                  <w:marRight w:val="0"/>
                  <w:marTop w:val="0"/>
                  <w:marBottom w:val="0"/>
                  <w:divBdr>
                    <w:top w:val="none" w:sz="0" w:space="0" w:color="auto"/>
                    <w:left w:val="none" w:sz="0" w:space="0" w:color="auto"/>
                    <w:bottom w:val="none" w:sz="0" w:space="0" w:color="auto"/>
                    <w:right w:val="none" w:sz="0" w:space="0" w:color="auto"/>
                  </w:divBdr>
                  <w:divsChild>
                    <w:div w:id="342243793">
                      <w:marLeft w:val="0"/>
                      <w:marRight w:val="0"/>
                      <w:marTop w:val="0"/>
                      <w:marBottom w:val="0"/>
                      <w:divBdr>
                        <w:top w:val="none" w:sz="0" w:space="0" w:color="auto"/>
                        <w:left w:val="none" w:sz="0" w:space="0" w:color="auto"/>
                        <w:bottom w:val="none" w:sz="0" w:space="0" w:color="auto"/>
                        <w:right w:val="none" w:sz="0" w:space="0" w:color="auto"/>
                      </w:divBdr>
                      <w:divsChild>
                        <w:div w:id="1244611529">
                          <w:marLeft w:val="0"/>
                          <w:marRight w:val="0"/>
                          <w:marTop w:val="0"/>
                          <w:marBottom w:val="0"/>
                          <w:divBdr>
                            <w:top w:val="none" w:sz="0" w:space="0" w:color="auto"/>
                            <w:left w:val="none" w:sz="0" w:space="0" w:color="auto"/>
                            <w:bottom w:val="none" w:sz="0" w:space="0" w:color="auto"/>
                            <w:right w:val="none" w:sz="0" w:space="0" w:color="auto"/>
                          </w:divBdr>
                          <w:divsChild>
                            <w:div w:id="202960163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201405">
      <w:bodyDiv w:val="1"/>
      <w:marLeft w:val="0"/>
      <w:marRight w:val="0"/>
      <w:marTop w:val="0"/>
      <w:marBottom w:val="0"/>
      <w:divBdr>
        <w:top w:val="none" w:sz="0" w:space="0" w:color="auto"/>
        <w:left w:val="none" w:sz="0" w:space="0" w:color="auto"/>
        <w:bottom w:val="none" w:sz="0" w:space="0" w:color="auto"/>
        <w:right w:val="none" w:sz="0" w:space="0" w:color="auto"/>
      </w:divBdr>
    </w:div>
    <w:div w:id="1299263125">
      <w:bodyDiv w:val="1"/>
      <w:marLeft w:val="0"/>
      <w:marRight w:val="0"/>
      <w:marTop w:val="0"/>
      <w:marBottom w:val="0"/>
      <w:divBdr>
        <w:top w:val="none" w:sz="0" w:space="0" w:color="auto"/>
        <w:left w:val="none" w:sz="0" w:space="0" w:color="auto"/>
        <w:bottom w:val="none" w:sz="0" w:space="0" w:color="auto"/>
        <w:right w:val="none" w:sz="0" w:space="0" w:color="auto"/>
      </w:divBdr>
      <w:divsChild>
        <w:div w:id="2141530100">
          <w:marLeft w:val="0"/>
          <w:marRight w:val="0"/>
          <w:marTop w:val="0"/>
          <w:marBottom w:val="0"/>
          <w:divBdr>
            <w:top w:val="none" w:sz="0" w:space="0" w:color="auto"/>
            <w:left w:val="none" w:sz="0" w:space="0" w:color="auto"/>
            <w:bottom w:val="none" w:sz="0" w:space="0" w:color="auto"/>
            <w:right w:val="none" w:sz="0" w:space="0" w:color="auto"/>
          </w:divBdr>
          <w:divsChild>
            <w:div w:id="499279105">
              <w:marLeft w:val="0"/>
              <w:marRight w:val="0"/>
              <w:marTop w:val="0"/>
              <w:marBottom w:val="0"/>
              <w:divBdr>
                <w:top w:val="none" w:sz="0" w:space="0" w:color="auto"/>
                <w:left w:val="none" w:sz="0" w:space="0" w:color="auto"/>
                <w:bottom w:val="none" w:sz="0" w:space="0" w:color="auto"/>
                <w:right w:val="none" w:sz="0" w:space="0" w:color="auto"/>
              </w:divBdr>
              <w:divsChild>
                <w:div w:id="625893927">
                  <w:marLeft w:val="0"/>
                  <w:marRight w:val="0"/>
                  <w:marTop w:val="0"/>
                  <w:marBottom w:val="0"/>
                  <w:divBdr>
                    <w:top w:val="none" w:sz="0" w:space="0" w:color="auto"/>
                    <w:left w:val="none" w:sz="0" w:space="0" w:color="auto"/>
                    <w:bottom w:val="none" w:sz="0" w:space="0" w:color="auto"/>
                    <w:right w:val="none" w:sz="0" w:space="0" w:color="auto"/>
                  </w:divBdr>
                  <w:divsChild>
                    <w:div w:id="43256543">
                      <w:marLeft w:val="0"/>
                      <w:marRight w:val="0"/>
                      <w:marTop w:val="0"/>
                      <w:marBottom w:val="0"/>
                      <w:divBdr>
                        <w:top w:val="none" w:sz="0" w:space="0" w:color="auto"/>
                        <w:left w:val="none" w:sz="0" w:space="0" w:color="auto"/>
                        <w:bottom w:val="none" w:sz="0" w:space="0" w:color="auto"/>
                        <w:right w:val="none" w:sz="0" w:space="0" w:color="auto"/>
                      </w:divBdr>
                      <w:divsChild>
                        <w:div w:id="1553038815">
                          <w:marLeft w:val="0"/>
                          <w:marRight w:val="0"/>
                          <w:marTop w:val="0"/>
                          <w:marBottom w:val="0"/>
                          <w:divBdr>
                            <w:top w:val="none" w:sz="0" w:space="0" w:color="auto"/>
                            <w:left w:val="none" w:sz="0" w:space="0" w:color="auto"/>
                            <w:bottom w:val="none" w:sz="0" w:space="0" w:color="auto"/>
                            <w:right w:val="none" w:sz="0" w:space="0" w:color="auto"/>
                          </w:divBdr>
                          <w:divsChild>
                            <w:div w:id="70395502">
                              <w:marLeft w:val="0"/>
                              <w:marRight w:val="0"/>
                              <w:marTop w:val="0"/>
                              <w:marBottom w:val="0"/>
                              <w:divBdr>
                                <w:top w:val="none" w:sz="0" w:space="0" w:color="auto"/>
                                <w:left w:val="none" w:sz="0" w:space="0" w:color="auto"/>
                                <w:bottom w:val="none" w:sz="0" w:space="0" w:color="auto"/>
                                <w:right w:val="none" w:sz="0" w:space="0" w:color="auto"/>
                              </w:divBdr>
                              <w:divsChild>
                                <w:div w:id="1202473312">
                                  <w:marLeft w:val="0"/>
                                  <w:marRight w:val="0"/>
                                  <w:marTop w:val="0"/>
                                  <w:marBottom w:val="0"/>
                                  <w:divBdr>
                                    <w:top w:val="none" w:sz="0" w:space="0" w:color="auto"/>
                                    <w:left w:val="none" w:sz="0" w:space="0" w:color="auto"/>
                                    <w:bottom w:val="none" w:sz="0" w:space="0" w:color="auto"/>
                                    <w:right w:val="none" w:sz="0" w:space="0" w:color="auto"/>
                                  </w:divBdr>
                                  <w:divsChild>
                                    <w:div w:id="1909538642">
                                      <w:marLeft w:val="0"/>
                                      <w:marRight w:val="0"/>
                                      <w:marTop w:val="0"/>
                                      <w:marBottom w:val="0"/>
                                      <w:divBdr>
                                        <w:top w:val="none" w:sz="0" w:space="0" w:color="auto"/>
                                        <w:left w:val="none" w:sz="0" w:space="0" w:color="auto"/>
                                        <w:bottom w:val="none" w:sz="0" w:space="0" w:color="auto"/>
                                        <w:right w:val="none" w:sz="0" w:space="0" w:color="auto"/>
                                      </w:divBdr>
                                      <w:divsChild>
                                        <w:div w:id="881819096">
                                          <w:marLeft w:val="0"/>
                                          <w:marRight w:val="0"/>
                                          <w:marTop w:val="0"/>
                                          <w:marBottom w:val="0"/>
                                          <w:divBdr>
                                            <w:top w:val="none" w:sz="0" w:space="0" w:color="auto"/>
                                            <w:left w:val="none" w:sz="0" w:space="0" w:color="auto"/>
                                            <w:bottom w:val="none" w:sz="0" w:space="0" w:color="auto"/>
                                            <w:right w:val="none" w:sz="0" w:space="0" w:color="auto"/>
                                          </w:divBdr>
                                          <w:divsChild>
                                            <w:div w:id="1242183789">
                                              <w:marLeft w:val="0"/>
                                              <w:marRight w:val="0"/>
                                              <w:marTop w:val="0"/>
                                              <w:marBottom w:val="0"/>
                                              <w:divBdr>
                                                <w:top w:val="none" w:sz="0" w:space="0" w:color="auto"/>
                                                <w:left w:val="none" w:sz="0" w:space="0" w:color="auto"/>
                                                <w:bottom w:val="none" w:sz="0" w:space="0" w:color="auto"/>
                                                <w:right w:val="none" w:sz="0" w:space="0" w:color="auto"/>
                                              </w:divBdr>
                                              <w:divsChild>
                                                <w:div w:id="688062736">
                                                  <w:marLeft w:val="0"/>
                                                  <w:marRight w:val="0"/>
                                                  <w:marTop w:val="0"/>
                                                  <w:marBottom w:val="0"/>
                                                  <w:divBdr>
                                                    <w:top w:val="none" w:sz="0" w:space="0" w:color="auto"/>
                                                    <w:left w:val="none" w:sz="0" w:space="0" w:color="auto"/>
                                                    <w:bottom w:val="none" w:sz="0" w:space="0" w:color="auto"/>
                                                    <w:right w:val="none" w:sz="0" w:space="0" w:color="auto"/>
                                                  </w:divBdr>
                                                  <w:divsChild>
                                                    <w:div w:id="32088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7968029">
      <w:bodyDiv w:val="1"/>
      <w:marLeft w:val="0"/>
      <w:marRight w:val="0"/>
      <w:marTop w:val="0"/>
      <w:marBottom w:val="0"/>
      <w:divBdr>
        <w:top w:val="none" w:sz="0" w:space="0" w:color="auto"/>
        <w:left w:val="none" w:sz="0" w:space="0" w:color="auto"/>
        <w:bottom w:val="none" w:sz="0" w:space="0" w:color="auto"/>
        <w:right w:val="none" w:sz="0" w:space="0" w:color="auto"/>
      </w:divBdr>
    </w:div>
    <w:div w:id="1506089144">
      <w:bodyDiv w:val="1"/>
      <w:marLeft w:val="0"/>
      <w:marRight w:val="0"/>
      <w:marTop w:val="0"/>
      <w:marBottom w:val="0"/>
      <w:divBdr>
        <w:top w:val="none" w:sz="0" w:space="0" w:color="auto"/>
        <w:left w:val="none" w:sz="0" w:space="0" w:color="auto"/>
        <w:bottom w:val="none" w:sz="0" w:space="0" w:color="auto"/>
        <w:right w:val="none" w:sz="0" w:space="0" w:color="auto"/>
      </w:divBdr>
    </w:div>
    <w:div w:id="1513374661">
      <w:bodyDiv w:val="1"/>
      <w:marLeft w:val="0"/>
      <w:marRight w:val="0"/>
      <w:marTop w:val="0"/>
      <w:marBottom w:val="0"/>
      <w:divBdr>
        <w:top w:val="none" w:sz="0" w:space="0" w:color="auto"/>
        <w:left w:val="none" w:sz="0" w:space="0" w:color="auto"/>
        <w:bottom w:val="none" w:sz="0" w:space="0" w:color="auto"/>
        <w:right w:val="none" w:sz="0" w:space="0" w:color="auto"/>
      </w:divBdr>
      <w:divsChild>
        <w:div w:id="505051807">
          <w:marLeft w:val="0"/>
          <w:marRight w:val="0"/>
          <w:marTop w:val="0"/>
          <w:marBottom w:val="0"/>
          <w:divBdr>
            <w:top w:val="none" w:sz="0" w:space="0" w:color="auto"/>
            <w:left w:val="none" w:sz="0" w:space="0" w:color="auto"/>
            <w:bottom w:val="none" w:sz="0" w:space="0" w:color="auto"/>
            <w:right w:val="none" w:sz="0" w:space="0" w:color="auto"/>
          </w:divBdr>
          <w:divsChild>
            <w:div w:id="1383140387">
              <w:marLeft w:val="-150"/>
              <w:marRight w:val="-150"/>
              <w:marTop w:val="0"/>
              <w:marBottom w:val="0"/>
              <w:divBdr>
                <w:top w:val="none" w:sz="0" w:space="0" w:color="auto"/>
                <w:left w:val="none" w:sz="0" w:space="0" w:color="auto"/>
                <w:bottom w:val="none" w:sz="0" w:space="0" w:color="auto"/>
                <w:right w:val="none" w:sz="0" w:space="0" w:color="auto"/>
              </w:divBdr>
              <w:divsChild>
                <w:div w:id="1278488381">
                  <w:marLeft w:val="0"/>
                  <w:marRight w:val="0"/>
                  <w:marTop w:val="0"/>
                  <w:marBottom w:val="0"/>
                  <w:divBdr>
                    <w:top w:val="none" w:sz="0" w:space="0" w:color="auto"/>
                    <w:left w:val="none" w:sz="0" w:space="0" w:color="auto"/>
                    <w:bottom w:val="none" w:sz="0" w:space="0" w:color="auto"/>
                    <w:right w:val="none" w:sz="0" w:space="0" w:color="auto"/>
                  </w:divBdr>
                  <w:divsChild>
                    <w:div w:id="510532185">
                      <w:marLeft w:val="0"/>
                      <w:marRight w:val="0"/>
                      <w:marTop w:val="0"/>
                      <w:marBottom w:val="0"/>
                      <w:divBdr>
                        <w:top w:val="none" w:sz="0" w:space="0" w:color="auto"/>
                        <w:left w:val="none" w:sz="0" w:space="0" w:color="auto"/>
                        <w:bottom w:val="none" w:sz="0" w:space="0" w:color="auto"/>
                        <w:right w:val="none" w:sz="0" w:space="0" w:color="auto"/>
                      </w:divBdr>
                      <w:divsChild>
                        <w:div w:id="151995801">
                          <w:marLeft w:val="0"/>
                          <w:marRight w:val="0"/>
                          <w:marTop w:val="0"/>
                          <w:marBottom w:val="0"/>
                          <w:divBdr>
                            <w:top w:val="none" w:sz="0" w:space="0" w:color="auto"/>
                            <w:left w:val="none" w:sz="0" w:space="0" w:color="auto"/>
                            <w:bottom w:val="none" w:sz="0" w:space="0" w:color="auto"/>
                            <w:right w:val="none" w:sz="0" w:space="0" w:color="auto"/>
                          </w:divBdr>
                          <w:divsChild>
                            <w:div w:id="112862569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8126823">
      <w:bodyDiv w:val="1"/>
      <w:marLeft w:val="0"/>
      <w:marRight w:val="0"/>
      <w:marTop w:val="0"/>
      <w:marBottom w:val="0"/>
      <w:divBdr>
        <w:top w:val="none" w:sz="0" w:space="0" w:color="auto"/>
        <w:left w:val="none" w:sz="0" w:space="0" w:color="auto"/>
        <w:bottom w:val="none" w:sz="0" w:space="0" w:color="auto"/>
        <w:right w:val="none" w:sz="0" w:space="0" w:color="auto"/>
      </w:divBdr>
    </w:div>
    <w:div w:id="1589002938">
      <w:bodyDiv w:val="1"/>
      <w:marLeft w:val="0"/>
      <w:marRight w:val="0"/>
      <w:marTop w:val="0"/>
      <w:marBottom w:val="0"/>
      <w:divBdr>
        <w:top w:val="none" w:sz="0" w:space="0" w:color="auto"/>
        <w:left w:val="none" w:sz="0" w:space="0" w:color="auto"/>
        <w:bottom w:val="none" w:sz="0" w:space="0" w:color="auto"/>
        <w:right w:val="none" w:sz="0" w:space="0" w:color="auto"/>
      </w:divBdr>
    </w:div>
    <w:div w:id="1616248857">
      <w:bodyDiv w:val="1"/>
      <w:marLeft w:val="0"/>
      <w:marRight w:val="0"/>
      <w:marTop w:val="0"/>
      <w:marBottom w:val="0"/>
      <w:divBdr>
        <w:top w:val="none" w:sz="0" w:space="0" w:color="auto"/>
        <w:left w:val="none" w:sz="0" w:space="0" w:color="auto"/>
        <w:bottom w:val="none" w:sz="0" w:space="0" w:color="auto"/>
        <w:right w:val="none" w:sz="0" w:space="0" w:color="auto"/>
      </w:divBdr>
    </w:div>
    <w:div w:id="1631281570">
      <w:bodyDiv w:val="1"/>
      <w:marLeft w:val="0"/>
      <w:marRight w:val="0"/>
      <w:marTop w:val="0"/>
      <w:marBottom w:val="0"/>
      <w:divBdr>
        <w:top w:val="none" w:sz="0" w:space="0" w:color="auto"/>
        <w:left w:val="none" w:sz="0" w:space="0" w:color="auto"/>
        <w:bottom w:val="none" w:sz="0" w:space="0" w:color="auto"/>
        <w:right w:val="none" w:sz="0" w:space="0" w:color="auto"/>
      </w:divBdr>
    </w:div>
    <w:div w:id="1633558908">
      <w:bodyDiv w:val="1"/>
      <w:marLeft w:val="0"/>
      <w:marRight w:val="0"/>
      <w:marTop w:val="0"/>
      <w:marBottom w:val="0"/>
      <w:divBdr>
        <w:top w:val="none" w:sz="0" w:space="0" w:color="auto"/>
        <w:left w:val="none" w:sz="0" w:space="0" w:color="auto"/>
        <w:bottom w:val="none" w:sz="0" w:space="0" w:color="auto"/>
        <w:right w:val="none" w:sz="0" w:space="0" w:color="auto"/>
      </w:divBdr>
      <w:divsChild>
        <w:div w:id="866404563">
          <w:marLeft w:val="446"/>
          <w:marRight w:val="0"/>
          <w:marTop w:val="0"/>
          <w:marBottom w:val="240"/>
          <w:divBdr>
            <w:top w:val="none" w:sz="0" w:space="0" w:color="auto"/>
            <w:left w:val="none" w:sz="0" w:space="0" w:color="auto"/>
            <w:bottom w:val="none" w:sz="0" w:space="0" w:color="auto"/>
            <w:right w:val="none" w:sz="0" w:space="0" w:color="auto"/>
          </w:divBdr>
        </w:div>
      </w:divsChild>
    </w:div>
    <w:div w:id="1645087286">
      <w:bodyDiv w:val="1"/>
      <w:marLeft w:val="0"/>
      <w:marRight w:val="0"/>
      <w:marTop w:val="0"/>
      <w:marBottom w:val="0"/>
      <w:divBdr>
        <w:top w:val="none" w:sz="0" w:space="0" w:color="auto"/>
        <w:left w:val="none" w:sz="0" w:space="0" w:color="auto"/>
        <w:bottom w:val="none" w:sz="0" w:space="0" w:color="auto"/>
        <w:right w:val="none" w:sz="0" w:space="0" w:color="auto"/>
      </w:divBdr>
      <w:divsChild>
        <w:div w:id="1380203303">
          <w:marLeft w:val="0"/>
          <w:marRight w:val="0"/>
          <w:marTop w:val="0"/>
          <w:marBottom w:val="0"/>
          <w:divBdr>
            <w:top w:val="none" w:sz="0" w:space="0" w:color="auto"/>
            <w:left w:val="none" w:sz="0" w:space="0" w:color="auto"/>
            <w:bottom w:val="none" w:sz="0" w:space="0" w:color="auto"/>
            <w:right w:val="none" w:sz="0" w:space="0" w:color="auto"/>
          </w:divBdr>
          <w:divsChild>
            <w:div w:id="1807816534">
              <w:marLeft w:val="0"/>
              <w:marRight w:val="0"/>
              <w:marTop w:val="0"/>
              <w:marBottom w:val="0"/>
              <w:divBdr>
                <w:top w:val="none" w:sz="0" w:space="0" w:color="auto"/>
                <w:left w:val="none" w:sz="0" w:space="0" w:color="auto"/>
                <w:bottom w:val="none" w:sz="0" w:space="0" w:color="auto"/>
                <w:right w:val="none" w:sz="0" w:space="0" w:color="auto"/>
              </w:divBdr>
              <w:divsChild>
                <w:div w:id="969943779">
                  <w:marLeft w:val="0"/>
                  <w:marRight w:val="0"/>
                  <w:marTop w:val="0"/>
                  <w:marBottom w:val="0"/>
                  <w:divBdr>
                    <w:top w:val="none" w:sz="0" w:space="0" w:color="auto"/>
                    <w:left w:val="none" w:sz="0" w:space="0" w:color="auto"/>
                    <w:bottom w:val="none" w:sz="0" w:space="0" w:color="auto"/>
                    <w:right w:val="none" w:sz="0" w:space="0" w:color="auto"/>
                  </w:divBdr>
                  <w:divsChild>
                    <w:div w:id="55780896">
                      <w:marLeft w:val="0"/>
                      <w:marRight w:val="0"/>
                      <w:marTop w:val="0"/>
                      <w:marBottom w:val="0"/>
                      <w:divBdr>
                        <w:top w:val="none" w:sz="0" w:space="0" w:color="auto"/>
                        <w:left w:val="none" w:sz="0" w:space="0" w:color="auto"/>
                        <w:bottom w:val="none" w:sz="0" w:space="0" w:color="auto"/>
                        <w:right w:val="none" w:sz="0" w:space="0" w:color="auto"/>
                      </w:divBdr>
                      <w:divsChild>
                        <w:div w:id="1365447161">
                          <w:marLeft w:val="0"/>
                          <w:marRight w:val="0"/>
                          <w:marTop w:val="0"/>
                          <w:marBottom w:val="0"/>
                          <w:divBdr>
                            <w:top w:val="none" w:sz="0" w:space="0" w:color="auto"/>
                            <w:left w:val="none" w:sz="0" w:space="0" w:color="auto"/>
                            <w:bottom w:val="none" w:sz="0" w:space="0" w:color="auto"/>
                            <w:right w:val="none" w:sz="0" w:space="0" w:color="auto"/>
                          </w:divBdr>
                          <w:divsChild>
                            <w:div w:id="1343511924">
                              <w:marLeft w:val="0"/>
                              <w:marRight w:val="0"/>
                              <w:marTop w:val="0"/>
                              <w:marBottom w:val="0"/>
                              <w:divBdr>
                                <w:top w:val="none" w:sz="0" w:space="0" w:color="auto"/>
                                <w:left w:val="none" w:sz="0" w:space="0" w:color="auto"/>
                                <w:bottom w:val="none" w:sz="0" w:space="0" w:color="auto"/>
                                <w:right w:val="none" w:sz="0" w:space="0" w:color="auto"/>
                              </w:divBdr>
                              <w:divsChild>
                                <w:div w:id="1765808318">
                                  <w:marLeft w:val="0"/>
                                  <w:marRight w:val="0"/>
                                  <w:marTop w:val="0"/>
                                  <w:marBottom w:val="0"/>
                                  <w:divBdr>
                                    <w:top w:val="none" w:sz="0" w:space="0" w:color="auto"/>
                                    <w:left w:val="none" w:sz="0" w:space="0" w:color="auto"/>
                                    <w:bottom w:val="none" w:sz="0" w:space="0" w:color="auto"/>
                                    <w:right w:val="none" w:sz="0" w:space="0" w:color="auto"/>
                                  </w:divBdr>
                                  <w:divsChild>
                                    <w:div w:id="928465757">
                                      <w:marLeft w:val="0"/>
                                      <w:marRight w:val="0"/>
                                      <w:marTop w:val="0"/>
                                      <w:marBottom w:val="0"/>
                                      <w:divBdr>
                                        <w:top w:val="none" w:sz="0" w:space="0" w:color="auto"/>
                                        <w:left w:val="none" w:sz="0" w:space="0" w:color="auto"/>
                                        <w:bottom w:val="none" w:sz="0" w:space="0" w:color="auto"/>
                                        <w:right w:val="none" w:sz="0" w:space="0" w:color="auto"/>
                                      </w:divBdr>
                                      <w:divsChild>
                                        <w:div w:id="12500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0450759">
      <w:bodyDiv w:val="1"/>
      <w:marLeft w:val="0"/>
      <w:marRight w:val="0"/>
      <w:marTop w:val="0"/>
      <w:marBottom w:val="0"/>
      <w:divBdr>
        <w:top w:val="none" w:sz="0" w:space="0" w:color="auto"/>
        <w:left w:val="none" w:sz="0" w:space="0" w:color="auto"/>
        <w:bottom w:val="none" w:sz="0" w:space="0" w:color="auto"/>
        <w:right w:val="none" w:sz="0" w:space="0" w:color="auto"/>
      </w:divBdr>
    </w:div>
    <w:div w:id="1706829706">
      <w:bodyDiv w:val="1"/>
      <w:marLeft w:val="0"/>
      <w:marRight w:val="0"/>
      <w:marTop w:val="0"/>
      <w:marBottom w:val="0"/>
      <w:divBdr>
        <w:top w:val="none" w:sz="0" w:space="0" w:color="auto"/>
        <w:left w:val="none" w:sz="0" w:space="0" w:color="auto"/>
        <w:bottom w:val="none" w:sz="0" w:space="0" w:color="auto"/>
        <w:right w:val="none" w:sz="0" w:space="0" w:color="auto"/>
      </w:divBdr>
    </w:div>
    <w:div w:id="1735155529">
      <w:bodyDiv w:val="1"/>
      <w:marLeft w:val="0"/>
      <w:marRight w:val="0"/>
      <w:marTop w:val="0"/>
      <w:marBottom w:val="0"/>
      <w:divBdr>
        <w:top w:val="none" w:sz="0" w:space="0" w:color="auto"/>
        <w:left w:val="none" w:sz="0" w:space="0" w:color="auto"/>
        <w:bottom w:val="none" w:sz="0" w:space="0" w:color="auto"/>
        <w:right w:val="none" w:sz="0" w:space="0" w:color="auto"/>
      </w:divBdr>
    </w:div>
    <w:div w:id="1765803862">
      <w:bodyDiv w:val="1"/>
      <w:marLeft w:val="0"/>
      <w:marRight w:val="0"/>
      <w:marTop w:val="0"/>
      <w:marBottom w:val="0"/>
      <w:divBdr>
        <w:top w:val="none" w:sz="0" w:space="0" w:color="auto"/>
        <w:left w:val="none" w:sz="0" w:space="0" w:color="auto"/>
        <w:bottom w:val="none" w:sz="0" w:space="0" w:color="auto"/>
        <w:right w:val="none" w:sz="0" w:space="0" w:color="auto"/>
      </w:divBdr>
      <w:divsChild>
        <w:div w:id="364525594">
          <w:marLeft w:val="0"/>
          <w:marRight w:val="0"/>
          <w:marTop w:val="0"/>
          <w:marBottom w:val="0"/>
          <w:divBdr>
            <w:top w:val="none" w:sz="0" w:space="0" w:color="auto"/>
            <w:left w:val="none" w:sz="0" w:space="0" w:color="auto"/>
            <w:bottom w:val="none" w:sz="0" w:space="0" w:color="auto"/>
            <w:right w:val="none" w:sz="0" w:space="0" w:color="auto"/>
          </w:divBdr>
          <w:divsChild>
            <w:div w:id="2081514914">
              <w:marLeft w:val="0"/>
              <w:marRight w:val="0"/>
              <w:marTop w:val="0"/>
              <w:marBottom w:val="0"/>
              <w:divBdr>
                <w:top w:val="none" w:sz="0" w:space="0" w:color="auto"/>
                <w:left w:val="none" w:sz="0" w:space="0" w:color="auto"/>
                <w:bottom w:val="none" w:sz="0" w:space="0" w:color="auto"/>
                <w:right w:val="none" w:sz="0" w:space="0" w:color="auto"/>
              </w:divBdr>
              <w:divsChild>
                <w:div w:id="2115401262">
                  <w:marLeft w:val="0"/>
                  <w:marRight w:val="0"/>
                  <w:marTop w:val="0"/>
                  <w:marBottom w:val="0"/>
                  <w:divBdr>
                    <w:top w:val="none" w:sz="0" w:space="0" w:color="auto"/>
                    <w:left w:val="none" w:sz="0" w:space="0" w:color="auto"/>
                    <w:bottom w:val="none" w:sz="0" w:space="0" w:color="auto"/>
                    <w:right w:val="none" w:sz="0" w:space="0" w:color="auto"/>
                  </w:divBdr>
                  <w:divsChild>
                    <w:div w:id="683828598">
                      <w:marLeft w:val="0"/>
                      <w:marRight w:val="0"/>
                      <w:marTop w:val="0"/>
                      <w:marBottom w:val="0"/>
                      <w:divBdr>
                        <w:top w:val="none" w:sz="0" w:space="0" w:color="auto"/>
                        <w:left w:val="none" w:sz="0" w:space="0" w:color="auto"/>
                        <w:bottom w:val="none" w:sz="0" w:space="0" w:color="auto"/>
                        <w:right w:val="none" w:sz="0" w:space="0" w:color="auto"/>
                      </w:divBdr>
                      <w:divsChild>
                        <w:div w:id="841818045">
                          <w:marLeft w:val="0"/>
                          <w:marRight w:val="0"/>
                          <w:marTop w:val="0"/>
                          <w:marBottom w:val="0"/>
                          <w:divBdr>
                            <w:top w:val="none" w:sz="0" w:space="0" w:color="auto"/>
                            <w:left w:val="none" w:sz="0" w:space="0" w:color="auto"/>
                            <w:bottom w:val="none" w:sz="0" w:space="0" w:color="auto"/>
                            <w:right w:val="none" w:sz="0" w:space="0" w:color="auto"/>
                          </w:divBdr>
                          <w:divsChild>
                            <w:div w:id="1942183213">
                              <w:marLeft w:val="0"/>
                              <w:marRight w:val="0"/>
                              <w:marTop w:val="0"/>
                              <w:marBottom w:val="0"/>
                              <w:divBdr>
                                <w:top w:val="none" w:sz="0" w:space="0" w:color="auto"/>
                                <w:left w:val="none" w:sz="0" w:space="0" w:color="auto"/>
                                <w:bottom w:val="none" w:sz="0" w:space="0" w:color="auto"/>
                                <w:right w:val="none" w:sz="0" w:space="0" w:color="auto"/>
                              </w:divBdr>
                              <w:divsChild>
                                <w:div w:id="80489882">
                                  <w:marLeft w:val="0"/>
                                  <w:marRight w:val="0"/>
                                  <w:marTop w:val="0"/>
                                  <w:marBottom w:val="0"/>
                                  <w:divBdr>
                                    <w:top w:val="none" w:sz="0" w:space="0" w:color="auto"/>
                                    <w:left w:val="none" w:sz="0" w:space="0" w:color="auto"/>
                                    <w:bottom w:val="none" w:sz="0" w:space="0" w:color="auto"/>
                                    <w:right w:val="none" w:sz="0" w:space="0" w:color="auto"/>
                                  </w:divBdr>
                                  <w:divsChild>
                                    <w:div w:id="197108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7073421">
      <w:bodyDiv w:val="1"/>
      <w:marLeft w:val="0"/>
      <w:marRight w:val="0"/>
      <w:marTop w:val="0"/>
      <w:marBottom w:val="0"/>
      <w:divBdr>
        <w:top w:val="none" w:sz="0" w:space="0" w:color="auto"/>
        <w:left w:val="none" w:sz="0" w:space="0" w:color="auto"/>
        <w:bottom w:val="none" w:sz="0" w:space="0" w:color="auto"/>
        <w:right w:val="none" w:sz="0" w:space="0" w:color="auto"/>
      </w:divBdr>
    </w:div>
    <w:div w:id="1771926016">
      <w:bodyDiv w:val="1"/>
      <w:marLeft w:val="0"/>
      <w:marRight w:val="0"/>
      <w:marTop w:val="0"/>
      <w:marBottom w:val="0"/>
      <w:divBdr>
        <w:top w:val="none" w:sz="0" w:space="0" w:color="auto"/>
        <w:left w:val="none" w:sz="0" w:space="0" w:color="auto"/>
        <w:bottom w:val="none" w:sz="0" w:space="0" w:color="auto"/>
        <w:right w:val="none" w:sz="0" w:space="0" w:color="auto"/>
      </w:divBdr>
    </w:div>
    <w:div w:id="1776630273">
      <w:bodyDiv w:val="1"/>
      <w:marLeft w:val="0"/>
      <w:marRight w:val="0"/>
      <w:marTop w:val="0"/>
      <w:marBottom w:val="0"/>
      <w:divBdr>
        <w:top w:val="none" w:sz="0" w:space="0" w:color="auto"/>
        <w:left w:val="none" w:sz="0" w:space="0" w:color="auto"/>
        <w:bottom w:val="none" w:sz="0" w:space="0" w:color="auto"/>
        <w:right w:val="none" w:sz="0" w:space="0" w:color="auto"/>
      </w:divBdr>
    </w:div>
    <w:div w:id="1787503063">
      <w:bodyDiv w:val="1"/>
      <w:marLeft w:val="0"/>
      <w:marRight w:val="0"/>
      <w:marTop w:val="0"/>
      <w:marBottom w:val="0"/>
      <w:divBdr>
        <w:top w:val="none" w:sz="0" w:space="0" w:color="auto"/>
        <w:left w:val="none" w:sz="0" w:space="0" w:color="auto"/>
        <w:bottom w:val="none" w:sz="0" w:space="0" w:color="auto"/>
        <w:right w:val="none" w:sz="0" w:space="0" w:color="auto"/>
      </w:divBdr>
    </w:div>
    <w:div w:id="1795562945">
      <w:bodyDiv w:val="1"/>
      <w:marLeft w:val="0"/>
      <w:marRight w:val="0"/>
      <w:marTop w:val="0"/>
      <w:marBottom w:val="0"/>
      <w:divBdr>
        <w:top w:val="none" w:sz="0" w:space="0" w:color="auto"/>
        <w:left w:val="none" w:sz="0" w:space="0" w:color="auto"/>
        <w:bottom w:val="none" w:sz="0" w:space="0" w:color="auto"/>
        <w:right w:val="none" w:sz="0" w:space="0" w:color="auto"/>
      </w:divBdr>
    </w:div>
    <w:div w:id="1815291963">
      <w:bodyDiv w:val="1"/>
      <w:marLeft w:val="0"/>
      <w:marRight w:val="0"/>
      <w:marTop w:val="0"/>
      <w:marBottom w:val="0"/>
      <w:divBdr>
        <w:top w:val="none" w:sz="0" w:space="0" w:color="auto"/>
        <w:left w:val="none" w:sz="0" w:space="0" w:color="auto"/>
        <w:bottom w:val="none" w:sz="0" w:space="0" w:color="auto"/>
        <w:right w:val="none" w:sz="0" w:space="0" w:color="auto"/>
      </w:divBdr>
    </w:div>
    <w:div w:id="1957637401">
      <w:bodyDiv w:val="1"/>
      <w:marLeft w:val="0"/>
      <w:marRight w:val="0"/>
      <w:marTop w:val="0"/>
      <w:marBottom w:val="0"/>
      <w:divBdr>
        <w:top w:val="none" w:sz="0" w:space="0" w:color="auto"/>
        <w:left w:val="none" w:sz="0" w:space="0" w:color="auto"/>
        <w:bottom w:val="none" w:sz="0" w:space="0" w:color="auto"/>
        <w:right w:val="none" w:sz="0" w:space="0" w:color="auto"/>
      </w:divBdr>
    </w:div>
    <w:div w:id="1965382449">
      <w:bodyDiv w:val="1"/>
      <w:marLeft w:val="0"/>
      <w:marRight w:val="0"/>
      <w:marTop w:val="0"/>
      <w:marBottom w:val="0"/>
      <w:divBdr>
        <w:top w:val="none" w:sz="0" w:space="0" w:color="auto"/>
        <w:left w:val="none" w:sz="0" w:space="0" w:color="auto"/>
        <w:bottom w:val="none" w:sz="0" w:space="0" w:color="auto"/>
        <w:right w:val="none" w:sz="0" w:space="0" w:color="auto"/>
      </w:divBdr>
    </w:div>
    <w:div w:id="2005280532">
      <w:bodyDiv w:val="1"/>
      <w:marLeft w:val="0"/>
      <w:marRight w:val="0"/>
      <w:marTop w:val="0"/>
      <w:marBottom w:val="0"/>
      <w:divBdr>
        <w:top w:val="none" w:sz="0" w:space="0" w:color="auto"/>
        <w:left w:val="none" w:sz="0" w:space="0" w:color="auto"/>
        <w:bottom w:val="none" w:sz="0" w:space="0" w:color="auto"/>
        <w:right w:val="none" w:sz="0" w:space="0" w:color="auto"/>
      </w:divBdr>
      <w:divsChild>
        <w:div w:id="1832871379">
          <w:marLeft w:val="0"/>
          <w:marRight w:val="0"/>
          <w:marTop w:val="0"/>
          <w:marBottom w:val="0"/>
          <w:divBdr>
            <w:top w:val="none" w:sz="0" w:space="0" w:color="auto"/>
            <w:left w:val="none" w:sz="0" w:space="0" w:color="auto"/>
            <w:bottom w:val="none" w:sz="0" w:space="0" w:color="auto"/>
            <w:right w:val="none" w:sz="0" w:space="0" w:color="auto"/>
          </w:divBdr>
          <w:divsChild>
            <w:div w:id="93913468">
              <w:marLeft w:val="-150"/>
              <w:marRight w:val="-150"/>
              <w:marTop w:val="0"/>
              <w:marBottom w:val="0"/>
              <w:divBdr>
                <w:top w:val="none" w:sz="0" w:space="0" w:color="auto"/>
                <w:left w:val="none" w:sz="0" w:space="0" w:color="auto"/>
                <w:bottom w:val="none" w:sz="0" w:space="0" w:color="auto"/>
                <w:right w:val="none" w:sz="0" w:space="0" w:color="auto"/>
              </w:divBdr>
              <w:divsChild>
                <w:div w:id="1515800237">
                  <w:marLeft w:val="0"/>
                  <w:marRight w:val="0"/>
                  <w:marTop w:val="0"/>
                  <w:marBottom w:val="0"/>
                  <w:divBdr>
                    <w:top w:val="none" w:sz="0" w:space="0" w:color="auto"/>
                    <w:left w:val="none" w:sz="0" w:space="0" w:color="auto"/>
                    <w:bottom w:val="none" w:sz="0" w:space="0" w:color="auto"/>
                    <w:right w:val="none" w:sz="0" w:space="0" w:color="auto"/>
                  </w:divBdr>
                  <w:divsChild>
                    <w:div w:id="788159827">
                      <w:marLeft w:val="0"/>
                      <w:marRight w:val="0"/>
                      <w:marTop w:val="0"/>
                      <w:marBottom w:val="0"/>
                      <w:divBdr>
                        <w:top w:val="none" w:sz="0" w:space="0" w:color="auto"/>
                        <w:left w:val="none" w:sz="0" w:space="0" w:color="auto"/>
                        <w:bottom w:val="none" w:sz="0" w:space="0" w:color="auto"/>
                        <w:right w:val="none" w:sz="0" w:space="0" w:color="auto"/>
                      </w:divBdr>
                      <w:divsChild>
                        <w:div w:id="985666269">
                          <w:marLeft w:val="0"/>
                          <w:marRight w:val="0"/>
                          <w:marTop w:val="0"/>
                          <w:marBottom w:val="0"/>
                          <w:divBdr>
                            <w:top w:val="none" w:sz="0" w:space="0" w:color="auto"/>
                            <w:left w:val="none" w:sz="0" w:space="0" w:color="auto"/>
                            <w:bottom w:val="none" w:sz="0" w:space="0" w:color="auto"/>
                            <w:right w:val="none" w:sz="0" w:space="0" w:color="auto"/>
                          </w:divBdr>
                          <w:divsChild>
                            <w:div w:id="139122663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5622214">
      <w:bodyDiv w:val="1"/>
      <w:marLeft w:val="0"/>
      <w:marRight w:val="0"/>
      <w:marTop w:val="0"/>
      <w:marBottom w:val="0"/>
      <w:divBdr>
        <w:top w:val="none" w:sz="0" w:space="0" w:color="auto"/>
        <w:left w:val="none" w:sz="0" w:space="0" w:color="auto"/>
        <w:bottom w:val="none" w:sz="0" w:space="0" w:color="auto"/>
        <w:right w:val="none" w:sz="0" w:space="0" w:color="auto"/>
      </w:divBdr>
    </w:div>
    <w:div w:id="2088645889">
      <w:bodyDiv w:val="1"/>
      <w:marLeft w:val="0"/>
      <w:marRight w:val="0"/>
      <w:marTop w:val="0"/>
      <w:marBottom w:val="0"/>
      <w:divBdr>
        <w:top w:val="none" w:sz="0" w:space="0" w:color="auto"/>
        <w:left w:val="none" w:sz="0" w:space="0" w:color="auto"/>
        <w:bottom w:val="none" w:sz="0" w:space="0" w:color="auto"/>
        <w:right w:val="none" w:sz="0" w:space="0" w:color="auto"/>
      </w:divBdr>
    </w:div>
    <w:div w:id="2092118329">
      <w:bodyDiv w:val="1"/>
      <w:marLeft w:val="0"/>
      <w:marRight w:val="0"/>
      <w:marTop w:val="0"/>
      <w:marBottom w:val="0"/>
      <w:divBdr>
        <w:top w:val="none" w:sz="0" w:space="0" w:color="auto"/>
        <w:left w:val="none" w:sz="0" w:space="0" w:color="auto"/>
        <w:bottom w:val="none" w:sz="0" w:space="0" w:color="auto"/>
        <w:right w:val="none" w:sz="0" w:space="0" w:color="auto"/>
      </w:divBdr>
    </w:div>
    <w:div w:id="2096586834">
      <w:bodyDiv w:val="1"/>
      <w:marLeft w:val="0"/>
      <w:marRight w:val="0"/>
      <w:marTop w:val="0"/>
      <w:marBottom w:val="0"/>
      <w:divBdr>
        <w:top w:val="none" w:sz="0" w:space="0" w:color="auto"/>
        <w:left w:val="none" w:sz="0" w:space="0" w:color="auto"/>
        <w:bottom w:val="none" w:sz="0" w:space="0" w:color="auto"/>
        <w:right w:val="none" w:sz="0" w:space="0" w:color="auto"/>
      </w:divBdr>
    </w:div>
    <w:div w:id="2127307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www.epe.gov.br/pt/publicacoes-dados-abertos/publicacoes/agricultura-familiar-pnpb-e-agenda-2030-um-compromisso-com-o-futuro-sustentavel" TargetMode="External"/><Relationship Id="rId26" Type="http://schemas.openxmlformats.org/officeDocument/2006/relationships/hyperlink" Target="https://www.gov.br/mme/pt-br/assuntos/conselhos-e-comites/cnpe/resolucoes-do-cnpe/2020/res14cnpe.pdf" TargetMode="External"/><Relationship Id="rId39" Type="http://schemas.openxmlformats.org/officeDocument/2006/relationships/hyperlink" Target="https://www.planalto.gov.br/ccivil_03/_Ato2011-2014/2014/Lei/L13033.htm" TargetMode="External"/><Relationship Id="rId21" Type="http://schemas.openxmlformats.org/officeDocument/2006/relationships/hyperlink" Target="https://www.sciencedirect.com/science/article/pii/S1364032112000044" TargetMode="External"/><Relationship Id="rId34" Type="http://schemas.openxmlformats.org/officeDocument/2006/relationships/hyperlink" Target="https://www.planalto.gov.br/ccivil_03/_ato2023-2026/2024/decreto/d11902.htm"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pe.gov.br/pt/publicacoes-dados-abertos/publicacoes/investimentos-e-custos-operacionais-e-de-manutencao-no-setor-de-biocombustiveis" TargetMode="External"/><Relationship Id="rId29" Type="http://schemas.openxmlformats.org/officeDocument/2006/relationships/hyperlink" Target="https://www.gov.br/mme/pt-br/assuntos/conselhos-e-comites/cnpe/resolucoes-do-cnpe/202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www.gov.br/mme/pt-br/assuntos/conselhos-e-comites/cnpe/resolucoes-do-cnpe/arquivos/2016/ResoluoCNPE_11_2016.pdf" TargetMode="External"/><Relationship Id="rId32" Type="http://schemas.openxmlformats.org/officeDocument/2006/relationships/hyperlink" Target="https://www.normasbrasil.com.br/norma/instrucao-normativa-1-2005_75633.html" TargetMode="External"/><Relationship Id="rId37" Type="http://schemas.openxmlformats.org/officeDocument/2006/relationships/hyperlink" Target="https://www.planalto.gov.br/ccivil_03/DNN/2003/Dnn9920.htm" TargetMode="External"/><Relationship Id="rId40" Type="http://schemas.openxmlformats.org/officeDocument/2006/relationships/hyperlink" Target="https://www.planalto.gov.br/ccivil_03/_Ato2015-2018/2016/Lei/L13263.htm"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pe.gov.br/pt/publicacoes-dados-abertos/publicacoes/analise-de-conjuntura-dos-biocombustiveis" TargetMode="External"/><Relationship Id="rId23" Type="http://schemas.openxmlformats.org/officeDocument/2006/relationships/hyperlink" Target="https://www.gov.br/mme/pt-br/assuntos/conselhos-e-comites/cnpe/resolucoes-do-cnpe/2025/Resolucao_CNPE_1pp.pdf" TargetMode="External"/><Relationship Id="rId28" Type="http://schemas.openxmlformats.org/officeDocument/2006/relationships/hyperlink" Target="https://www.gov.br/mme/pt-br/assuntos/conselhos-e-comites/cnpe/resolucoes-do-cnpe/arquivos/2009/resolucao-cnpe_6_2009.pdf" TargetMode="External"/><Relationship Id="rId36" Type="http://schemas.openxmlformats.org/officeDocument/2006/relationships/hyperlink" Target="https://www.planalto.gov.br/ccivil_03/_Ato2004-2006/2005/Decreto/D5448.htm" TargetMode="External"/><Relationship Id="rId10" Type="http://schemas.openxmlformats.org/officeDocument/2006/relationships/endnotes" Target="endnotes.xml"/><Relationship Id="rId19" Type="http://schemas.openxmlformats.org/officeDocument/2006/relationships/hyperlink" Target="https://www.epe.gov.br/pt/publicacoes-dados-abertos/publicacoes/nt-combustiveis-renovaveis-para-uso-em-motores-do-ciclo-diesel" TargetMode="External"/><Relationship Id="rId31" Type="http://schemas.openxmlformats.org/officeDocument/2006/relationships/hyperlink" Target="https://www.normasbrasil.com.br/norma/instrucao-normativa-1-2009_77541.html"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www.biodieselbr.com/pdf/29102021101009_20211029_ResolucaoANP_857_2021.pdf" TargetMode="External"/><Relationship Id="rId27" Type="http://schemas.openxmlformats.org/officeDocument/2006/relationships/hyperlink" Target="https://www.gov.br/mme/pt-br/assuntos/conselhos-e-comites/cnpe/resolucoes-do-cnpe/2007/ResCNPE_5_2007_.pdf" TargetMode="External"/><Relationship Id="rId30" Type="http://schemas.openxmlformats.org/officeDocument/2006/relationships/hyperlink" Target="https://www.gov.br/mme/pt-br/acesso-a-informacao/legislacao/portarias/2016/portaria-n-262-2016.pdf" TargetMode="External"/><Relationship Id="rId35" Type="http://schemas.openxmlformats.org/officeDocument/2006/relationships/hyperlink" Target="https://www.planalto.gov.br/ccivil_03/_Ato2004-2006/2004/Decreto/D5297.htm"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www.epe.gov.br/pt/publicacoes-dados-abertos/publicacoes/impacto-na-saude-humana-pelo-uso-de-biocombustiveis-na-regiao-metropolitana-de-sao-paulo" TargetMode="External"/><Relationship Id="rId25" Type="http://schemas.openxmlformats.org/officeDocument/2006/relationships/hyperlink" Target="https://www.gov.br/mme/pt-br/assuntos/conselhos-e-comites/cnpe/resolucoes-do-cnpe/2024/PublicaoResoluo13OGRs.pdf" TargetMode="External"/><Relationship Id="rId33" Type="http://schemas.openxmlformats.org/officeDocument/2006/relationships/hyperlink" Target="https://www.planalto.gov.br/ccivil_03/_Ato2019-2022/2020/Decreto/D10527.htm" TargetMode="External"/><Relationship Id="rId38" Type="http://schemas.openxmlformats.org/officeDocument/2006/relationships/hyperlink" Target="https://www.planalto.gov.br/ccivil_03/_Ato2004-2006/2005/Lei/L11097.htm" TargetMode="External"/><Relationship Id="rId46" Type="http://schemas.microsoft.com/office/2011/relationships/people" Target="people.xml"/><Relationship Id="rId20" Type="http://schemas.openxmlformats.org/officeDocument/2006/relationships/hyperlink" Target="https://www.epe.gov.br/pt/publicacoes-dados-abertos/publicacoes/determinacao-da-densidade-energetica-do-diesel-b7-de-referencia-plano-interlaboratorial" TargetMode="External"/><Relationship Id="rId41"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CCE19</b:Tag>
    <b:SourceType>Report</b:SourceType>
    <b:Guid>{D70E0F53-08E7-4219-97B3-54F9D1771EE2}</b:Guid>
    <b:Author>
      <b:Author>
        <b:Corporate>CCEE</b:Corporate>
      </b:Author>
    </b:Author>
    <b:Title>InfoMercado: Dados Individuais</b:Title>
    <b:Year>2020</b:Year>
    <b:Institution>Câmara de Comercialização de Energia Elétrica</b:Institution>
    <b:City>São Paulo</b:City>
    <b:URL>www.ccee.org.br</b:URL>
    <b:RefOrder>42</b:RefOrder>
  </b:Source>
  <b:Source>
    <b:Tag>BND9b</b:Tag>
    <b:SourceType>Report</b:SourceType>
    <b:Guid>{C56E809C-F9F3-46A7-A2D8-280219348E6B}</b:Guid>
    <b:Title>Comunicação Pessoal</b:Title>
    <b:Year>2020b</b:Year>
    <b:Author>
      <b:Interviewee>
        <b:NameList>
          <b:Person>
            <b:Last>BNDES</b:Last>
          </b:Person>
        </b:NameList>
      </b:Interviewee>
      <b:Author>
        <b:Corporate>BNDES</b:Corporate>
      </b:Author>
    </b:Author>
    <b:Institution>Banco Nacional de Desenvolvimento Econômico e Sustentável</b:Institution>
    <b:RefOrder>7</b:RefOrder>
  </b:Source>
  <b:Source>
    <b:Tag>Ele11</b:Tag>
    <b:SourceType>InternetSite</b:SourceType>
    <b:Guid>{7F243FF0-E406-4278-A58D-6AF4444F0695}</b:Guid>
    <b:Author>
      <b:Author>
        <b:NameList>
          <b:Person>
            <b:Last>ELETROBRAS</b:Last>
          </b:Person>
        </b:NameList>
      </b:Author>
      <b:ProducerName>
        <b:NameList>
          <b:Person>
            <b:Last>Brasieliras</b:Last>
            <b:First>Centrais</b:First>
            <b:Middle>Elétricas</b:Middle>
          </b:Person>
        </b:NameList>
      </b:ProducerName>
    </b:Author>
    <b:Title>PROINFA</b:Title>
    <b:City>Rio de Janeiro</b:City>
    <b:InternetSiteTitle>Eletrobras - Centrais Elétricas Brasileiras</b:InternetSiteTitle>
    <b:YearAccessed>2019</b:YearAccessed>
    <b:MonthAccessed>Junho</b:MonthAccessed>
    <b:URL>www.eletrobras.com/pt/Paginas/Proinfa.aspx</b:URL>
    <b:Year>2020</b:Year>
    <b:RefOrder>53</b:RefOrder>
  </b:Source>
  <b:Source>
    <b:Tag>COG20</b:Tag>
    <b:SourceType>Report</b:SourceType>
    <b:Guid>{064DCA6B-7898-4710-B4EC-DFB5CDB0C764}</b:Guid>
    <b:Title>Bioeletricidade - Reduzindo emissões e agregando valor ao sistema elétrico</b:Title>
    <b:Year>2009</b:Year>
    <b:Author>
      <b:Author>
        <b:Corporate>COGEN</b:Corporate>
      </b:Author>
    </b:Author>
    <b:Institution>Associação da Indústria de Cogeração de Energia</b:Institution>
    <b:RefOrder>54</b:RefOrder>
  </b:Source>
  <b:Source>
    <b:Tag>EQU09</b:Tag>
    <b:SourceType>Report</b:SourceType>
    <b:Guid>{6B869569-E68C-4D71-AD99-2987E13FD828}</b:Guid>
    <b:Title>Uso da palha da cana-de-açúcar</b:Title>
    <b:Year>2009</b:Year>
    <b:City>São Paulo</b:City>
    <b:Author>
      <b:Author>
        <b:Corporate>EQUIPAV</b:Corporate>
      </b:Author>
    </b:Author>
    <b:Institution>EQUIPAV</b:Institution>
    <b:RefOrder>55</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c2692117-a0d7-4be3-956d-8428dc4fd62b"/>
    <Topico xmlns="e6ab3a8c-1b9d-4e48-929c-0169f452390a">856</Topico>
    <Publicacao xmlns="e6ab3a8c-1b9d-4e48-929c-0169f452390a" xsi:nil="true"/>
    <ka0f0c7cfd80493d8c6a33a83b804b29 xmlns="c2692117-a0d7-4be3-956d-8428dc4fd62b">
      <Terms xmlns="http://schemas.microsoft.com/office/infopath/2007/PartnerControls"/>
    </ka0f0c7cfd80493d8c6a33a83b804b29>
    <Ordem xmlns="e6ab3a8c-1b9d-4e48-929c-0169f452390a">98</Ordem>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605A40907E22A44A04B53D7345D6DBB" ma:contentTypeVersion="12" ma:contentTypeDescription="Crie um novo documento." ma:contentTypeScope="" ma:versionID="78d3bcda57241e335acbe8ee7dc65d50">
  <xsd:schema xmlns:xsd="http://www.w3.org/2001/XMLSchema" xmlns:xs="http://www.w3.org/2001/XMLSchema" xmlns:p="http://schemas.microsoft.com/office/2006/metadata/properties" xmlns:ns2="e6ab3a8c-1b9d-4e48-929c-0169f452390a" xmlns:ns3="c2692117-a0d7-4be3-956d-8428dc4fd62b" xmlns:ns4="da298a69-1833-4b3d-9e07-d63a39461a7d" targetNamespace="http://schemas.microsoft.com/office/2006/metadata/properties" ma:root="true" ma:fieldsID="c61f6b2b132b4914b1ff4283b54bd4c1" ns2:_="" ns3:_="" ns4:_="">
    <xsd:import namespace="e6ab3a8c-1b9d-4e48-929c-0169f452390a"/>
    <xsd:import namespace="c2692117-a0d7-4be3-956d-8428dc4fd62b"/>
    <xsd:import namespace="da298a69-1833-4b3d-9e07-d63a39461a7d"/>
    <xsd:element name="properties">
      <xsd:complexType>
        <xsd:sequence>
          <xsd:element name="documentManagement">
            <xsd:complexType>
              <xsd:all>
                <xsd:element ref="ns2:Publicacao" minOccurs="0"/>
                <xsd:element ref="ns2:Topico" minOccurs="0"/>
                <xsd:element ref="ns2:Topico_x003a_ID" minOccurs="0"/>
                <xsd:element ref="ns2:Ordem" minOccurs="0"/>
                <xsd:element ref="ns3:ka0f0c7cfd80493d8c6a33a83b804b29" minOccurs="0"/>
                <xsd:element ref="ns3:TaxCatchAll"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b3a8c-1b9d-4e48-929c-0169f452390a" elementFormDefault="qualified">
    <xsd:import namespace="http://schemas.microsoft.com/office/2006/documentManagement/types"/>
    <xsd:import namespace="http://schemas.microsoft.com/office/infopath/2007/PartnerControls"/>
    <xsd:element name="Publicacao" ma:index="8" nillable="true" ma:displayName="Publicação" ma:list="{72f10568-9049-4e7f-b6b9-6b3967372d08}" ma:internalName="Publicacao" ma:readOnly="false" ma:showField="Title">
      <xsd:simpleType>
        <xsd:restriction base="dms:Lookup"/>
      </xsd:simpleType>
    </xsd:element>
    <xsd:element name="Topico" ma:index="9" nillable="true" ma:displayName="Topico" ma:list="{3f9e33a3-6c74-49f3-9d56-b602ca9235b5}" ma:internalName="Topico" ma:readOnly="false" ma:showField="Title">
      <xsd:simpleType>
        <xsd:restriction base="dms:Lookup"/>
      </xsd:simpleType>
    </xsd:element>
    <xsd:element name="Topico_x003a_ID" ma:index="10" nillable="true" ma:displayName="Topico:ID" ma:list="{3f9e33a3-6c74-49f3-9d56-b602ca9235b5}" ma:internalName="Topico_x003a_ID" ma:readOnly="true" ma:showField="ID" ma:web="da298a69-1833-4b3d-9e07-d63a39461a7d">
      <xsd:simpleType>
        <xsd:restriction base="dms:Lookup"/>
      </xsd:simpleType>
    </xsd:element>
    <xsd:element name="Ordem" ma:index="11" nillable="true" ma:displayName="Ordem" ma:decimals="0" ma:internalName="Ordem">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2692117-a0d7-4be3-956d-8428dc4fd62b" elementFormDefault="qualified">
    <xsd:import namespace="http://schemas.microsoft.com/office/2006/documentManagement/types"/>
    <xsd:import namespace="http://schemas.microsoft.com/office/infopath/2007/PartnerControls"/>
    <xsd:element name="ka0f0c7cfd80493d8c6a33a83b804b29" ma:index="13" nillable="true" ma:taxonomy="true" ma:internalName="ka0f0c7cfd80493d8c6a33a83b804b29" ma:taxonomyFieldName="Tag" ma:displayName="Tag" ma:default="" ma:fieldId="{4a0f0c7c-fd80-493d-8c6a-33a83b804b29}" ma:taxonomyMulti="true" ma:sspId="31423334-e3fc-4ff3-9956-0d09b48b681f" ma:termSetId="8eb7b6e9-68ed-45e4-995f-8bfb18a636f1" ma:anchorId="00000000-0000-0000-0000-000000000000" ma:open="true" ma:isKeyword="false">
      <xsd:complexType>
        <xsd:sequence>
          <xsd:element ref="pc:Terms" minOccurs="0" maxOccurs="1"/>
        </xsd:sequence>
      </xsd:complexType>
    </xsd:element>
    <xsd:element name="TaxCatchAll" ma:index="14" nillable="true" ma:displayName="Taxonomy Catch All Column" ma:hidden="true" ma:list="{29227de3-58a8-4547-bb45-02a6b61feb5f}" ma:internalName="TaxCatchAll" ma:showField="CatchAllData" ma:web="c2692117-a0d7-4be3-956d-8428dc4fd62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298a69-1833-4b3d-9e07-d63a39461a7d" elementFormDefault="qualified">
    <xsd:import namespace="http://schemas.microsoft.com/office/2006/documentManagement/types"/>
    <xsd:import namespace="http://schemas.microsoft.com/office/infopath/2007/PartnerControls"/>
    <xsd:element name="SharedWithUsers" ma:index="15"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EEB2F9-F239-4FC7-BA8C-AA28E031A3CF}">
  <ds:schemaRefs>
    <ds:schemaRef ds:uri="http://schemas.openxmlformats.org/officeDocument/2006/bibliography"/>
  </ds:schemaRefs>
</ds:datastoreItem>
</file>

<file path=customXml/itemProps2.xml><?xml version="1.0" encoding="utf-8"?>
<ds:datastoreItem xmlns:ds="http://schemas.openxmlformats.org/officeDocument/2006/customXml" ds:itemID="{C560F4EE-D58A-4743-B147-18ADA50C2910}">
  <ds:schemaRefs>
    <ds:schemaRef ds:uri="http://schemas.microsoft.com/office/2006/metadata/properties"/>
    <ds:schemaRef ds:uri="http://schemas.microsoft.com/office/infopath/2007/PartnerControls"/>
    <ds:schemaRef ds:uri="690d2e0e-7d4b-4233-8d03-ea1042274c92"/>
    <ds:schemaRef ds:uri="6eb8d705-1654-40ce-82c3-0856b054da82"/>
  </ds:schemaRefs>
</ds:datastoreItem>
</file>

<file path=customXml/itemProps3.xml><?xml version="1.0" encoding="utf-8"?>
<ds:datastoreItem xmlns:ds="http://schemas.openxmlformats.org/officeDocument/2006/customXml" ds:itemID="{78A7EA5B-B457-4FB9-BA40-74FF00354EEF}"/>
</file>

<file path=customXml/itemProps4.xml><?xml version="1.0" encoding="utf-8"?>
<ds:datastoreItem xmlns:ds="http://schemas.openxmlformats.org/officeDocument/2006/customXml" ds:itemID="{A3FB4332-204E-4F9F-A25D-2804C1299E99}">
  <ds:schemaRefs>
    <ds:schemaRef ds:uri="http://schemas.microsoft.com/sharepoint/v3/contenttype/forms"/>
  </ds:schemaRefs>
</ds:datastoreItem>
</file>

<file path=docMetadata/LabelInfo.xml><?xml version="1.0" encoding="utf-8"?>
<clbl:labelList xmlns:clbl="http://schemas.microsoft.com/office/2020/mipLabelMetadata">
  <clbl:label id="{96a21d00-d811-4c05-8ac4-2d5708526a0a}" enabled="0" method="" siteId="{96a21d00-d811-4c05-8ac4-2d5708526a0a}" removed="1"/>
</clbl:labelList>
</file>

<file path=docProps/app.xml><?xml version="1.0" encoding="utf-8"?>
<Properties xmlns="http://schemas.openxmlformats.org/officeDocument/2006/extended-properties" xmlns:vt="http://schemas.openxmlformats.org/officeDocument/2006/docPropsVTypes">
  <Template>Normal.dotm</Template>
  <TotalTime>2274</TotalTime>
  <Pages>10</Pages>
  <Words>4198</Words>
  <Characters>22674</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Programa Nacional de Produção e Uso de Biodiesel (PNPB)</vt:lpstr>
    </vt:vector>
  </TitlesOfParts>
  <Company>Empresa de Pesquisa Energética - EPE</Company>
  <LinksUpToDate>false</LinksUpToDate>
  <CharactersWithSpaces>26819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Explicativa</dc:title>
  <dc:subject/>
  <dc:creator>Carlos Augusto Goes Pacheco</dc:creator>
  <cp:keywords/>
  <cp:lastModifiedBy>Amyr Crissaff Silva</cp:lastModifiedBy>
  <cp:revision>53</cp:revision>
  <cp:lastPrinted>2025-02-27T09:16:00Z</cp:lastPrinted>
  <dcterms:created xsi:type="dcterms:W3CDTF">2026-09-04T14:55:00Z</dcterms:created>
  <dcterms:modified xsi:type="dcterms:W3CDTF">2026-10-07T13:46:00Z</dcterms:modified>
  <cp:category>NE-EPE-DPG-SDB-2026-XX</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0x010100C605A40907E22A44A04B53D7345D6DBB</vt:lpwstr>
  </property>
  <property fmtid="{D5CDD505-2E9C-101B-9397-08002B2CF9AE}" pid="3" name="MediaServiceImageTags">
    <vt:lpwstr/>
  </property>
  <property fmtid="{D5CDD505-2E9C-101B-9397-08002B2CF9AE}" pid="4" name="Tag">
    <vt:lpwstr/>
  </property>
</Properties>
</file>